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951FF1" w:rsidP="00951FF1" w14:paraId="442AB9EC" w14:textId="50E70A6E">
      <w:pPr>
        <w:widowControl/>
        <w:jc w:val="both"/>
        <w:rPr>
          <w:b/>
          <w:bCs/>
          <w:color w:val="auto"/>
          <w:shd w:val="clear" w:color="auto" w:fill="auto"/>
        </w:rPr>
      </w:pPr>
      <w:r w:rsidRPr="00391B83">
        <w:rPr>
          <w:noProof/>
          <w:sz w:val="20"/>
        </w:rPr>
        <mc:AlternateContent>
          <mc:Choice Requires="wps">
            <w:drawing>
              <wp:anchor distT="45720" distB="45720" distL="114300" distR="114300" simplePos="0" relativeHeight="251658240" behindDoc="0" locked="0" layoutInCell="1" allowOverlap="1">
                <wp:simplePos x="0" y="0"/>
                <wp:positionH relativeFrom="margin">
                  <wp:align>right</wp:align>
                </wp:positionH>
                <wp:positionV relativeFrom="page">
                  <wp:posOffset>245993</wp:posOffset>
                </wp:positionV>
                <wp:extent cx="1256030" cy="1645920"/>
                <wp:effectExtent l="0" t="0" r="1270" b="0"/>
                <wp:wrapSquare wrapText="bothSides"/>
                <wp:docPr id="217"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256030" cy="1645920"/>
                        </a:xfrm>
                        <a:prstGeom prst="rect">
                          <a:avLst/>
                        </a:prstGeom>
                        <a:solidFill>
                          <a:srgbClr val="FFFFFF"/>
                        </a:solidFill>
                        <a:ln w="9525">
                          <a:noFill/>
                          <a:miter lim="800000"/>
                          <a:headEnd/>
                          <a:tailEnd/>
                        </a:ln>
                      </wps:spPr>
                      <wps:txbx>
                        <w:txbxContent>
                          <w:p w:rsidR="00391B83" w:rsidRPr="00391B83" w14:textId="42D95B79">
                            <w:pPr>
                              <w:rPr>
                                <w:rFonts w:ascii="Arial" w:hAnsi="Arial" w:cs="Arial"/>
                                <w:color w:val="auto"/>
                                <w:shd w:val="clear" w:color="auto" w:fill="auto"/>
                              </w:rPr>
                            </w:pPr>
                            <w:r w:rsidRPr="00391B83">
                              <w:rPr>
                                <w:rFonts w:ascii="Arial" w:hAnsi="Arial" w:cs="Arial"/>
                              </w:rPr>
                              <w:t>Exhibit MAT-5</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5" type="#_x0000_t202" style="width:98.9pt;height:21.7pt;margin-top:19.35pt;margin-left:47.7pt;mso-height-percent:200;mso-height-relative:margin;mso-position-horizontal:right;mso-position-horizontal-relative:margin;mso-position-vertical-relative:page;mso-width-percent:0;mso-width-relative:margin;mso-wrap-distance-bottom:3.6pt;mso-wrap-distance-left:9pt;mso-wrap-distance-right:9pt;mso-wrap-distance-top:3.6pt;mso-wrap-style:square;position:absolute;visibility:visible;v-text-anchor:top;z-index:251659264" stroked="f">
                <v:textbox style="mso-fit-shape-to-text:t">
                  <w:txbxContent>
                    <w:p w:rsidR="00391B83" w:rsidRPr="00391B83" w14:paraId="192BDE5E" w14:textId="42D95B79">
                      <w:pPr>
                        <w:rPr>
                          <w:rFonts w:ascii="Arial" w:hAnsi="Arial" w:cs="Arial"/>
                        </w:rPr>
                      </w:pPr>
                      <w:r w:rsidRPr="00391B83">
                        <w:rPr>
                          <w:rFonts w:ascii="Arial" w:hAnsi="Arial" w:cs="Arial"/>
                        </w:rPr>
                        <w:t>Exhibit MAT-5</w:t>
                      </w:r>
                    </w:p>
                  </w:txbxContent>
                </v:textbox>
                <w10:wrap type="square"/>
              </v:shape>
            </w:pict>
          </mc:Fallback>
        </mc:AlternateContent>
      </w:r>
      <w:r w:rsidR="0098017E">
        <w:rPr>
          <w:b/>
          <w:bCs/>
        </w:rPr>
        <w:t>3.</w:t>
      </w:r>
      <w:r w:rsidR="001117FE">
        <w:rPr>
          <w:b/>
          <w:bCs/>
        </w:rPr>
        <w:t>6</w:t>
      </w:r>
      <w:r w:rsidR="0098017E">
        <w:rPr>
          <w:b/>
          <w:bCs/>
        </w:rPr>
        <w:t xml:space="preserve"> Rider WDCRF – Wholesale Distribution Cost Recovery Factor</w:t>
      </w:r>
    </w:p>
    <w:p w:rsidR="00951FF1" w:rsidP="00951FF1" w14:paraId="442AB9ED" w14:textId="77777777">
      <w:pPr>
        <w:widowControl/>
        <w:spacing w:line="221" w:lineRule="exact"/>
        <w:jc w:val="both"/>
        <w:rPr>
          <w:b/>
          <w:bCs/>
          <w:color w:val="auto"/>
          <w:sz w:val="20"/>
          <w:szCs w:val="20"/>
          <w:shd w:val="clear" w:color="auto" w:fill="auto"/>
        </w:rPr>
      </w:pPr>
      <w:bookmarkStart w:id="0" w:name="_DV_M1"/>
      <w:bookmarkEnd w:id="0"/>
    </w:p>
    <w:p w:rsidR="00951FF1" w:rsidP="00951FF1" w14:paraId="442AB9EE" w14:textId="77777777">
      <w:pPr>
        <w:widowControl/>
        <w:spacing w:line="240" w:lineRule="exact"/>
        <w:jc w:val="both"/>
        <w:rPr>
          <w:b/>
          <w:bCs/>
          <w:color w:val="auto"/>
          <w:sz w:val="20"/>
          <w:szCs w:val="20"/>
          <w:shd w:val="clear" w:color="auto" w:fill="auto"/>
        </w:rPr>
      </w:pPr>
      <w:r>
        <w:rPr>
          <w:b/>
          <w:bCs/>
          <w:sz w:val="20"/>
          <w:szCs w:val="20"/>
        </w:rPr>
        <w:t>Application</w:t>
      </w:r>
    </w:p>
    <w:p w:rsidR="00951FF1" w:rsidP="00951FF1" w14:paraId="442AB9EF" w14:textId="10522CB8">
      <w:pPr>
        <w:widowControl/>
        <w:spacing w:line="240" w:lineRule="exact"/>
        <w:jc w:val="both"/>
        <w:rPr>
          <w:b/>
          <w:bCs/>
          <w:color w:val="auto"/>
          <w:sz w:val="20"/>
          <w:szCs w:val="20"/>
          <w:shd w:val="clear" w:color="auto" w:fill="auto"/>
        </w:rPr>
      </w:pPr>
    </w:p>
    <w:p w:rsidR="00951FF1" w:rsidRPr="0030659F" w:rsidP="00951FF1" w14:paraId="442AB9F0" w14:textId="2E8AE724">
      <w:pPr>
        <w:widowControl/>
        <w:spacing w:line="240" w:lineRule="exact"/>
        <w:ind w:right="216"/>
        <w:jc w:val="both"/>
        <w:rPr>
          <w:color w:val="000000"/>
          <w:sz w:val="20"/>
          <w:shd w:val="clear" w:color="auto" w:fill="auto"/>
        </w:rPr>
      </w:pPr>
      <w:bookmarkStart w:id="1" w:name="_DV_M2"/>
      <w:bookmarkEnd w:id="1"/>
      <w:r w:rsidRPr="0030659F">
        <w:rPr>
          <w:sz w:val="20"/>
        </w:rPr>
        <w:t xml:space="preserve">Each </w:t>
      </w:r>
      <w:r>
        <w:rPr>
          <w:sz w:val="20"/>
        </w:rPr>
        <w:t>WDSC</w:t>
      </w:r>
      <w:r w:rsidRPr="0030659F">
        <w:rPr>
          <w:sz w:val="20"/>
        </w:rPr>
        <w:t xml:space="preserve"> will be assessed a </w:t>
      </w:r>
      <w:r w:rsidRPr="0030659F">
        <w:rPr>
          <w:sz w:val="20"/>
        </w:rPr>
        <w:t>nonbypassable</w:t>
      </w:r>
      <w:r w:rsidRPr="0030659F">
        <w:rPr>
          <w:sz w:val="20"/>
        </w:rPr>
        <w:t xml:space="preserve"> distribution service charge adjustment pursuant to this rider.</w:t>
      </w:r>
      <w:r w:rsidRPr="0030659F">
        <w:rPr>
          <w:b/>
          <w:color w:val="000000"/>
        </w:rPr>
        <w:t xml:space="preserve"> </w:t>
      </w:r>
      <w:r w:rsidRPr="0030659F">
        <w:rPr>
          <w:color w:val="000000"/>
          <w:sz w:val="20"/>
        </w:rPr>
        <w:t xml:space="preserve">The charges derived herein, pursuant to </w:t>
      </w:r>
      <w:r w:rsidRPr="0030659F">
        <w:rPr>
          <w:sz w:val="20"/>
        </w:rPr>
        <w:t xml:space="preserve">Substantive Rule § </w:t>
      </w:r>
      <w:r w:rsidRPr="0030659F">
        <w:rPr>
          <w:color w:val="000000"/>
          <w:sz w:val="20"/>
        </w:rPr>
        <w:t>25.243, are necessitated by incremental distribution costs not included in the Company’s last general rate case proceeding before the Commission.</w:t>
      </w:r>
    </w:p>
    <w:p w:rsidR="0030659F" w:rsidRPr="0030659F" w:rsidP="00951FF1" w14:paraId="442AB9F1" w14:textId="21777B9C">
      <w:pPr>
        <w:widowControl/>
        <w:spacing w:line="240" w:lineRule="exact"/>
        <w:ind w:right="216"/>
        <w:jc w:val="both"/>
        <w:rPr>
          <w:color w:val="000000"/>
          <w:spacing w:val="-4"/>
          <w:sz w:val="20"/>
          <w:szCs w:val="20"/>
          <w:shd w:val="clear" w:color="auto" w:fill="auto"/>
        </w:rPr>
      </w:pPr>
    </w:p>
    <w:p w:rsidR="00951FF1" w:rsidP="004A47E7" w14:paraId="442AB9F2" w14:textId="77777777">
      <w:pPr>
        <w:pStyle w:val="BodyTextIndent"/>
        <w:tabs>
          <w:tab w:val="left" w:pos="6660"/>
        </w:tabs>
        <w:spacing w:after="0"/>
        <w:ind w:left="0"/>
        <w:rPr>
          <w:b/>
          <w:color w:val="auto"/>
          <w:sz w:val="20"/>
          <w:szCs w:val="20"/>
          <w:shd w:val="clear" w:color="auto" w:fill="auto"/>
        </w:rPr>
      </w:pPr>
      <w:bookmarkStart w:id="2" w:name="_DV_M3"/>
      <w:bookmarkStart w:id="3" w:name="_DV_M10"/>
      <w:bookmarkEnd w:id="2"/>
      <w:bookmarkEnd w:id="3"/>
      <w:r w:rsidRPr="00CE6CB4">
        <w:rPr>
          <w:b/>
          <w:sz w:val="20"/>
          <w:szCs w:val="20"/>
        </w:rPr>
        <w:t>M</w:t>
      </w:r>
      <w:r>
        <w:rPr>
          <w:b/>
          <w:sz w:val="20"/>
          <w:szCs w:val="20"/>
        </w:rPr>
        <w:t>onthly Rate</w:t>
      </w:r>
      <w:r w:rsidR="004A47E7">
        <w:rPr>
          <w:b/>
          <w:sz w:val="20"/>
          <w:szCs w:val="20"/>
        </w:rPr>
        <w:tab/>
      </w:r>
    </w:p>
    <w:p w:rsidR="004A47E7" w:rsidRPr="00CE6CB4" w:rsidP="004A47E7" w14:paraId="442AB9F3" w14:textId="77777777">
      <w:pPr>
        <w:pStyle w:val="BodyTextIndent"/>
        <w:spacing w:after="0"/>
        <w:ind w:left="0"/>
        <w:rPr>
          <w:b/>
          <w:color w:val="auto"/>
          <w:sz w:val="20"/>
          <w:szCs w:val="20"/>
          <w:shd w:val="clear" w:color="auto" w:fill="auto"/>
        </w:rPr>
      </w:pPr>
    </w:p>
    <w:p w:rsidR="00951FF1" w:rsidRPr="00CE6CB4" w:rsidP="004A47E7" w14:paraId="442AB9F4" w14:textId="75B4D5BD">
      <w:pPr>
        <w:pStyle w:val="BodyTextIndent"/>
        <w:spacing w:after="0"/>
        <w:ind w:left="0"/>
        <w:rPr>
          <w:color w:val="auto"/>
          <w:sz w:val="20"/>
          <w:shd w:val="clear" w:color="auto" w:fill="auto"/>
        </w:rPr>
      </w:pPr>
      <w:r>
        <w:rPr>
          <w:sz w:val="20"/>
        </w:rPr>
        <w:t xml:space="preserve">The WDSC receiving service </w:t>
      </w:r>
      <w:r w:rsidRPr="00CE6CB4">
        <w:rPr>
          <w:sz w:val="20"/>
        </w:rPr>
        <w:t>will be assessed this distribution service charge adjustment based on the monthly per unit cost (</w:t>
      </w:r>
      <w:r>
        <w:rPr>
          <w:sz w:val="20"/>
        </w:rPr>
        <w:t>W</w:t>
      </w:r>
      <w:r w:rsidRPr="00CE6CB4">
        <w:rPr>
          <w:sz w:val="20"/>
        </w:rPr>
        <w:t xml:space="preserve">DCRF) multiplied times the </w:t>
      </w:r>
      <w:r>
        <w:rPr>
          <w:sz w:val="20"/>
        </w:rPr>
        <w:t>WDSC’s</w:t>
      </w:r>
      <w:r w:rsidRPr="00CE6CB4">
        <w:rPr>
          <w:sz w:val="20"/>
        </w:rPr>
        <w:t xml:space="preserve"> appropriate monthly billing determinant</w:t>
      </w:r>
      <w:r>
        <w:rPr>
          <w:sz w:val="20"/>
        </w:rPr>
        <w:t>.</w:t>
      </w:r>
      <w:r w:rsidRPr="00CE6CB4">
        <w:rPr>
          <w:sz w:val="20"/>
        </w:rPr>
        <w:t xml:space="preserve"> </w:t>
      </w:r>
    </w:p>
    <w:p w:rsidR="00951FF1" w:rsidP="004A47E7" w14:paraId="442AB9F5" w14:textId="77777777">
      <w:pPr>
        <w:pStyle w:val="BodyTextIndent"/>
        <w:spacing w:after="0"/>
        <w:ind w:left="0"/>
        <w:rPr>
          <w:color w:val="auto"/>
          <w:sz w:val="20"/>
          <w:shd w:val="clear" w:color="auto" w:fill="auto"/>
        </w:rPr>
      </w:pPr>
    </w:p>
    <w:p w:rsidR="00951FF1" w:rsidRPr="00CE6CB4" w:rsidP="004A47E7" w14:paraId="442AB9F6" w14:textId="77777777">
      <w:pPr>
        <w:pStyle w:val="BodyTextIndent"/>
        <w:spacing w:after="0"/>
        <w:ind w:left="0"/>
        <w:rPr>
          <w:color w:val="auto"/>
          <w:sz w:val="20"/>
          <w:shd w:val="clear" w:color="auto" w:fill="auto"/>
        </w:rPr>
      </w:pPr>
      <w:r w:rsidRPr="00CE6CB4">
        <w:rPr>
          <w:sz w:val="20"/>
        </w:rPr>
        <w:t xml:space="preserve">The </w:t>
      </w:r>
      <w:r>
        <w:rPr>
          <w:sz w:val="20"/>
        </w:rPr>
        <w:t>W</w:t>
      </w:r>
      <w:r w:rsidRPr="00CE6CB4">
        <w:rPr>
          <w:sz w:val="20"/>
        </w:rPr>
        <w:t>DCRF shall be calculated for each rate according to the following formula:</w:t>
      </w:r>
    </w:p>
    <w:p w:rsidR="00951FF1" w:rsidRPr="00CE6CB4" w:rsidP="004A47E7" w14:paraId="442AB9F7" w14:textId="10EAC0E7">
      <w:pPr>
        <w:pStyle w:val="BodyTextIndent"/>
        <w:spacing w:after="0"/>
        <w:ind w:right="-270"/>
        <w:rPr>
          <w:color w:val="auto"/>
          <w:sz w:val="20"/>
          <w:shd w:val="clear" w:color="auto" w:fill="auto"/>
        </w:rPr>
      </w:pPr>
    </w:p>
    <w:p w:rsidR="00951FF1" w:rsidRPr="00CE6CB4" w:rsidP="004A47E7" w14:paraId="442AB9F8" w14:textId="78DD1E89">
      <w:pPr>
        <w:ind w:left="1440" w:hanging="1440"/>
        <w:rPr>
          <w:color w:val="auto"/>
          <w:shd w:val="clear" w:color="auto" w:fill="auto"/>
        </w:rPr>
      </w:pPr>
      <w:r>
        <w:t>W</w:t>
      </w:r>
      <w:r w:rsidRPr="00CE6CB4">
        <w:t>DCRF =</w:t>
      </w:r>
      <w:r w:rsidRPr="00CE6CB4">
        <w:tab/>
        <w:t>[((DIC</w:t>
      </w:r>
      <w:r w:rsidRPr="00CE6CB4">
        <w:rPr>
          <w:vertAlign w:val="subscript"/>
        </w:rPr>
        <w:t>C</w:t>
      </w:r>
      <w:r w:rsidRPr="00CE6CB4">
        <w:t xml:space="preserve"> – DIC</w:t>
      </w:r>
      <w:r w:rsidRPr="00CE6CB4">
        <w:rPr>
          <w:vertAlign w:val="subscript"/>
        </w:rPr>
        <w:t>RC</w:t>
      </w:r>
      <w:r w:rsidRPr="00CE6CB4">
        <w:t>) * ROR</w:t>
      </w:r>
      <w:r w:rsidRPr="00CE6CB4">
        <w:rPr>
          <w:vertAlign w:val="subscript"/>
        </w:rPr>
        <w:t>AT</w:t>
      </w:r>
      <w:r w:rsidRPr="00CE6CB4">
        <w:t>) + (DEPR</w:t>
      </w:r>
      <w:r w:rsidRPr="00CE6CB4">
        <w:rPr>
          <w:vertAlign w:val="subscript"/>
        </w:rPr>
        <w:t>C</w:t>
      </w:r>
      <w:r w:rsidRPr="00CE6CB4">
        <w:t xml:space="preserve"> – DEPR</w:t>
      </w:r>
      <w:r w:rsidRPr="00CE6CB4">
        <w:rPr>
          <w:vertAlign w:val="subscript"/>
        </w:rPr>
        <w:t>RC</w:t>
      </w:r>
      <w:r w:rsidRPr="00CE6CB4">
        <w:t>) + (FIT</w:t>
      </w:r>
      <w:r w:rsidRPr="00CE6CB4">
        <w:rPr>
          <w:vertAlign w:val="subscript"/>
        </w:rPr>
        <w:t xml:space="preserve">C </w:t>
      </w:r>
      <w:r w:rsidRPr="00CE6CB4">
        <w:t>– FIT</w:t>
      </w:r>
      <w:r w:rsidRPr="00CE6CB4">
        <w:rPr>
          <w:vertAlign w:val="subscript"/>
        </w:rPr>
        <w:t>RC</w:t>
      </w:r>
      <w:r w:rsidRPr="00CE6CB4">
        <w:t>) + (OT</w:t>
      </w:r>
      <w:r w:rsidRPr="00CE6CB4">
        <w:rPr>
          <w:vertAlign w:val="subscript"/>
        </w:rPr>
        <w:t>C</w:t>
      </w:r>
      <w:r w:rsidRPr="00CE6CB4">
        <w:t xml:space="preserve"> – OT</w:t>
      </w:r>
      <w:r w:rsidRPr="00CE6CB4">
        <w:rPr>
          <w:vertAlign w:val="subscript"/>
        </w:rPr>
        <w:t>RC</w:t>
      </w:r>
      <w:r w:rsidRPr="00CE6CB4">
        <w:t xml:space="preserve">) - </w:t>
      </w:r>
      <w:r w:rsidRPr="00CE6CB4">
        <w:t>∑(</w:t>
      </w:r>
      <w:r w:rsidRPr="00CE6CB4">
        <w:t>DISTREV</w:t>
      </w:r>
      <w:r w:rsidRPr="00CE6CB4">
        <w:rPr>
          <w:vertAlign w:val="subscript"/>
        </w:rPr>
        <w:t>RC-CLASS</w:t>
      </w:r>
      <w:r w:rsidRPr="00CE6CB4">
        <w:t xml:space="preserve"> * %GROWTH</w:t>
      </w:r>
      <w:r w:rsidRPr="00CE6CB4">
        <w:rPr>
          <w:vertAlign w:val="subscript"/>
        </w:rPr>
        <w:t>CLASS</w:t>
      </w:r>
      <w:r w:rsidRPr="00CE6CB4">
        <w:t>)] * ALLOC</w:t>
      </w:r>
      <w:r w:rsidRPr="00CE6CB4">
        <w:rPr>
          <w:vertAlign w:val="subscript"/>
        </w:rPr>
        <w:t>CLASS</w:t>
      </w:r>
      <w:r w:rsidRPr="00CE6CB4">
        <w:t xml:space="preserve"> / BD</w:t>
      </w:r>
      <w:r w:rsidRPr="00CE6CB4">
        <w:rPr>
          <w:vertAlign w:val="subscript"/>
        </w:rPr>
        <w:t>C-CLASS</w:t>
      </w:r>
    </w:p>
    <w:p w:rsidR="00951FF1" w:rsidRPr="00CE6CB4" w:rsidP="004A47E7" w14:paraId="442AB9F9" w14:textId="77777777">
      <w:pPr>
        <w:pStyle w:val="BodyTextIndent"/>
        <w:spacing w:after="0"/>
        <w:ind w:right="-270"/>
        <w:rPr>
          <w:color w:val="auto"/>
          <w:sz w:val="20"/>
          <w:shd w:val="clear" w:color="auto" w:fill="auto"/>
        </w:rPr>
      </w:pPr>
    </w:p>
    <w:p w:rsidR="00951FF1" w:rsidRPr="00CE6CB4" w:rsidP="004A47E7" w14:paraId="442AB9FA" w14:textId="766BA99A">
      <w:pPr>
        <w:pStyle w:val="BodyTextIndent"/>
        <w:spacing w:after="0"/>
        <w:ind w:right="-270"/>
        <w:rPr>
          <w:color w:val="auto"/>
          <w:sz w:val="20"/>
          <w:shd w:val="clear" w:color="auto" w:fill="auto"/>
        </w:rPr>
      </w:pPr>
      <w:r w:rsidRPr="00CE6CB4">
        <w:rPr>
          <w:sz w:val="20"/>
        </w:rPr>
        <w:t>rounded to nearest $.000001</w:t>
      </w:r>
    </w:p>
    <w:p w:rsidR="00951FF1" w:rsidRPr="00CE6CB4" w:rsidP="004A47E7" w14:paraId="442AB9FB" w14:textId="77777777">
      <w:pPr>
        <w:tabs>
          <w:tab w:val="left" w:pos="600"/>
          <w:tab w:val="left" w:pos="1440"/>
          <w:tab w:val="left" w:pos="2040"/>
          <w:tab w:val="left" w:pos="3000"/>
          <w:tab w:val="left" w:pos="4320"/>
          <w:tab w:val="left" w:pos="5760"/>
          <w:tab w:val="left" w:pos="6720"/>
        </w:tabs>
        <w:jc w:val="both"/>
        <w:rPr>
          <w:color w:val="auto"/>
          <w:sz w:val="20"/>
          <w:shd w:val="clear" w:color="auto" w:fill="auto"/>
        </w:rPr>
      </w:pPr>
    </w:p>
    <w:p w:rsidR="00951FF1" w:rsidRPr="00CE6CB4" w:rsidP="004A47E7" w14:paraId="442AB9FC" w14:textId="77777777">
      <w:pPr>
        <w:tabs>
          <w:tab w:val="left" w:pos="600"/>
          <w:tab w:val="left" w:pos="1440"/>
          <w:tab w:val="left" w:pos="2040"/>
          <w:tab w:val="left" w:pos="3000"/>
          <w:tab w:val="left" w:pos="4320"/>
          <w:tab w:val="left" w:pos="5760"/>
          <w:tab w:val="left" w:pos="6720"/>
        </w:tabs>
        <w:jc w:val="both"/>
        <w:rPr>
          <w:color w:val="auto"/>
          <w:sz w:val="20"/>
          <w:shd w:val="clear" w:color="auto" w:fill="auto"/>
        </w:rPr>
      </w:pPr>
      <w:r w:rsidRPr="00CE6CB4">
        <w:rPr>
          <w:sz w:val="20"/>
        </w:rPr>
        <w:t>Where:</w:t>
      </w:r>
    </w:p>
    <w:p w:rsidR="00951FF1" w:rsidRPr="00CE6CB4" w:rsidP="004A47E7" w14:paraId="442AB9FD" w14:textId="77777777">
      <w:pPr>
        <w:tabs>
          <w:tab w:val="left" w:pos="600"/>
          <w:tab w:val="left" w:pos="1440"/>
          <w:tab w:val="left" w:pos="2040"/>
          <w:tab w:val="left" w:pos="3000"/>
          <w:tab w:val="left" w:pos="4320"/>
          <w:tab w:val="left" w:pos="5760"/>
          <w:tab w:val="left" w:pos="6720"/>
        </w:tabs>
        <w:jc w:val="both"/>
        <w:rPr>
          <w:color w:val="auto"/>
          <w:sz w:val="20"/>
          <w:shd w:val="clear" w:color="auto" w:fill="auto"/>
        </w:rPr>
      </w:pPr>
    </w:p>
    <w:p w:rsidR="00951FF1" w:rsidRPr="00CE6CB4" w:rsidP="004A47E7" w14:paraId="442AB9FE" w14:textId="216F9060">
      <w:pPr>
        <w:tabs>
          <w:tab w:val="left" w:pos="600"/>
          <w:tab w:val="left" w:pos="1440"/>
          <w:tab w:val="left" w:pos="2040"/>
          <w:tab w:val="left" w:pos="3000"/>
          <w:tab w:val="left" w:pos="4320"/>
          <w:tab w:val="left" w:pos="5760"/>
          <w:tab w:val="left" w:pos="6720"/>
        </w:tabs>
        <w:jc w:val="both"/>
        <w:rPr>
          <w:color w:val="auto"/>
          <w:sz w:val="20"/>
          <w:shd w:val="clear" w:color="auto" w:fill="auto"/>
        </w:rPr>
      </w:pPr>
      <w:r w:rsidRPr="00CE6CB4">
        <w:rPr>
          <w:sz w:val="20"/>
        </w:rPr>
        <w:tab/>
        <w:t>DIC</w:t>
      </w:r>
      <w:r w:rsidRPr="00CE6CB4">
        <w:rPr>
          <w:sz w:val="20"/>
          <w:vertAlign w:val="subscript"/>
        </w:rPr>
        <w:t>C</w:t>
      </w:r>
      <w:r w:rsidRPr="00CE6CB4">
        <w:rPr>
          <w:sz w:val="20"/>
        </w:rPr>
        <w:tab/>
        <w:t>=</w:t>
      </w:r>
      <w:r w:rsidRPr="00CE6CB4">
        <w:rPr>
          <w:sz w:val="20"/>
        </w:rPr>
        <w:tab/>
        <w:t>Current Net Distribution Invested Capital</w:t>
      </w:r>
    </w:p>
    <w:p w:rsidR="00951FF1" w:rsidRPr="00CE6CB4" w:rsidP="004A47E7" w14:paraId="442AB9FF" w14:textId="77777777">
      <w:pPr>
        <w:tabs>
          <w:tab w:val="left" w:pos="600"/>
          <w:tab w:val="left" w:pos="1440"/>
          <w:tab w:val="left" w:pos="2040"/>
          <w:tab w:val="left" w:pos="3000"/>
          <w:tab w:val="left" w:pos="4320"/>
          <w:tab w:val="left" w:pos="5760"/>
          <w:tab w:val="left" w:pos="6720"/>
        </w:tabs>
        <w:jc w:val="both"/>
        <w:rPr>
          <w:color w:val="auto"/>
          <w:sz w:val="20"/>
          <w:shd w:val="clear" w:color="auto" w:fill="auto"/>
        </w:rPr>
      </w:pPr>
    </w:p>
    <w:p w:rsidR="00951FF1" w:rsidRPr="00CE6CB4" w:rsidP="004A47E7" w14:paraId="442ABA00" w14:textId="0861DD42">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DIC</w:t>
      </w:r>
      <w:r w:rsidRPr="00CE6CB4">
        <w:rPr>
          <w:sz w:val="20"/>
          <w:vertAlign w:val="subscript"/>
        </w:rPr>
        <w:t>RC</w:t>
      </w:r>
      <w:r w:rsidRPr="00CE6CB4">
        <w:rPr>
          <w:sz w:val="20"/>
        </w:rPr>
        <w:tab/>
        <w:t>=</w:t>
      </w:r>
      <w:r w:rsidRPr="00CE6CB4">
        <w:rPr>
          <w:sz w:val="20"/>
        </w:rPr>
        <w:tab/>
        <w:t>Net Distribution Invested Capital from the last comprehensive base-rate proceeding.</w:t>
      </w:r>
    </w:p>
    <w:p w:rsidR="00951FF1" w:rsidRPr="00CE6CB4" w:rsidP="004A47E7" w14:paraId="442ABA01"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02" w14:textId="3CF9BD63">
      <w:pPr>
        <w:tabs>
          <w:tab w:val="left" w:pos="600"/>
          <w:tab w:val="left" w:pos="1440"/>
          <w:tab w:val="left" w:pos="2040"/>
          <w:tab w:val="left" w:pos="3000"/>
          <w:tab w:val="left" w:pos="4320"/>
          <w:tab w:val="left" w:pos="5760"/>
          <w:tab w:val="left" w:pos="6720"/>
        </w:tabs>
        <w:jc w:val="both"/>
        <w:rPr>
          <w:color w:val="auto"/>
          <w:sz w:val="20"/>
          <w:shd w:val="clear" w:color="auto" w:fill="auto"/>
        </w:rPr>
      </w:pPr>
      <w:r w:rsidRPr="00CE6CB4">
        <w:rPr>
          <w:sz w:val="20"/>
          <w:vertAlign w:val="subscript"/>
        </w:rPr>
        <w:tab/>
      </w:r>
      <w:r w:rsidRPr="00CE6CB4">
        <w:rPr>
          <w:sz w:val="20"/>
        </w:rPr>
        <w:t>ROR</w:t>
      </w:r>
      <w:r w:rsidRPr="00CE6CB4">
        <w:rPr>
          <w:sz w:val="20"/>
          <w:vertAlign w:val="subscript"/>
        </w:rPr>
        <w:t>AT</w:t>
      </w:r>
      <w:r w:rsidRPr="00CE6CB4">
        <w:rPr>
          <w:sz w:val="20"/>
        </w:rPr>
        <w:tab/>
        <w:t>=</w:t>
      </w:r>
      <w:r w:rsidRPr="00CE6CB4">
        <w:rPr>
          <w:sz w:val="20"/>
        </w:rPr>
        <w:tab/>
        <w:t>After-Tax Rate of Return as defined in Substantive Rule § 25.243(d)(2).</w:t>
      </w:r>
    </w:p>
    <w:p w:rsidR="00951FF1" w:rsidRPr="00CE6CB4" w:rsidP="004A47E7" w14:paraId="442ABA03" w14:textId="77777777">
      <w:pPr>
        <w:tabs>
          <w:tab w:val="left" w:pos="600"/>
          <w:tab w:val="left" w:pos="1440"/>
          <w:tab w:val="left" w:pos="2040"/>
          <w:tab w:val="left" w:pos="3000"/>
          <w:tab w:val="left" w:pos="4320"/>
          <w:tab w:val="left" w:pos="5760"/>
          <w:tab w:val="left" w:pos="6720"/>
        </w:tabs>
        <w:jc w:val="both"/>
        <w:rPr>
          <w:color w:val="auto"/>
          <w:sz w:val="20"/>
          <w:shd w:val="clear" w:color="auto" w:fill="auto"/>
        </w:rPr>
      </w:pPr>
    </w:p>
    <w:p w:rsidR="00951FF1" w:rsidRPr="00CE6CB4" w:rsidP="004A47E7" w14:paraId="442ABA04"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DEPR</w:t>
      </w:r>
      <w:r w:rsidRPr="00CE6CB4">
        <w:rPr>
          <w:sz w:val="20"/>
          <w:vertAlign w:val="subscript"/>
        </w:rPr>
        <w:t>C</w:t>
      </w:r>
      <w:r w:rsidRPr="00CE6CB4">
        <w:rPr>
          <w:sz w:val="20"/>
        </w:rPr>
        <w:tab/>
        <w:t>=</w:t>
      </w:r>
      <w:r w:rsidRPr="00CE6CB4">
        <w:rPr>
          <w:sz w:val="20"/>
        </w:rPr>
        <w:tab/>
        <w:t>Current Depreciation Expense, as related to Current Gross Distribution Invested Capital, calculated using the currently approved depreciation rates.</w:t>
      </w:r>
    </w:p>
    <w:p w:rsidR="00951FF1" w:rsidRPr="00CE6CB4" w:rsidP="004A47E7" w14:paraId="442ABA05" w14:textId="5AD60AD9">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06" w14:textId="1FFA51AA">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DEPR</w:t>
      </w:r>
      <w:r w:rsidRPr="00CE6CB4">
        <w:rPr>
          <w:sz w:val="20"/>
          <w:vertAlign w:val="subscript"/>
        </w:rPr>
        <w:t>RC</w:t>
      </w:r>
      <w:r w:rsidRPr="00CE6CB4">
        <w:rPr>
          <w:sz w:val="20"/>
        </w:rPr>
        <w:tab/>
        <w:t>=</w:t>
      </w:r>
      <w:r w:rsidRPr="00CE6CB4">
        <w:rPr>
          <w:sz w:val="20"/>
        </w:rPr>
        <w:tab/>
        <w:t>Depreciation Expense, as related to Gross Distribution Invested Capital, from the last comprehensive base-rate proceeding.</w:t>
      </w:r>
    </w:p>
    <w:p w:rsidR="00951FF1" w:rsidRPr="00CE6CB4" w:rsidP="004A47E7" w14:paraId="442ABA07" w14:textId="68767B80">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08" w14:textId="2EBFF46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FIT</w:t>
      </w:r>
      <w:r w:rsidRPr="00CE6CB4">
        <w:rPr>
          <w:sz w:val="20"/>
          <w:vertAlign w:val="subscript"/>
        </w:rPr>
        <w:t>c</w:t>
      </w:r>
      <w:r w:rsidRPr="00CE6CB4">
        <w:rPr>
          <w:sz w:val="20"/>
        </w:rPr>
        <w:tab/>
        <w:t>=</w:t>
      </w:r>
      <w:r w:rsidRPr="00CE6CB4">
        <w:rPr>
          <w:sz w:val="20"/>
        </w:rPr>
        <w:tab/>
        <w:t>Current Federal Income Tax, as related to Current Net Distribution Invested Capital, including the change in federal income taxes related to the change in return on rate base and synchronization of interest associated with the change in rate base resulting from additions to and retirements of distribution plant as used to compute Net Distribution Invested Capital.</w:t>
      </w:r>
    </w:p>
    <w:p w:rsidR="00951FF1" w:rsidRPr="00CE6CB4" w:rsidP="004A47E7" w14:paraId="442ABA09"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0A"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FIT</w:t>
      </w:r>
      <w:r w:rsidRPr="00CE6CB4">
        <w:rPr>
          <w:sz w:val="20"/>
          <w:vertAlign w:val="subscript"/>
        </w:rPr>
        <w:t>RC</w:t>
      </w:r>
      <w:r w:rsidRPr="00CE6CB4">
        <w:rPr>
          <w:sz w:val="20"/>
        </w:rPr>
        <w:tab/>
        <w:t>=</w:t>
      </w:r>
      <w:r w:rsidRPr="00CE6CB4">
        <w:rPr>
          <w:sz w:val="20"/>
        </w:rPr>
        <w:tab/>
        <w:t>Federal Income Tax, as related to Net Distribution Invested Capital from the last comprehensive base-rate proceeding.</w:t>
      </w:r>
    </w:p>
    <w:p w:rsidR="004A47E7" w:rsidP="004A47E7" w14:paraId="442ABA0B"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0C"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OT</w:t>
      </w:r>
      <w:r w:rsidRPr="00CE6CB4">
        <w:rPr>
          <w:sz w:val="20"/>
          <w:vertAlign w:val="subscript"/>
        </w:rPr>
        <w:t>C</w:t>
      </w:r>
      <w:r w:rsidRPr="00CE6CB4">
        <w:rPr>
          <w:sz w:val="20"/>
        </w:rPr>
        <w:tab/>
        <w:t>=</w:t>
      </w:r>
      <w:r w:rsidRPr="00CE6CB4">
        <w:rPr>
          <w:sz w:val="20"/>
        </w:rPr>
        <w:tab/>
      </w:r>
      <w:r w:rsidRPr="00CE6CB4">
        <w:rPr>
          <w:sz w:val="20"/>
        </w:rPr>
        <w:t>Current  Other</w:t>
      </w:r>
      <w:r w:rsidRPr="00CE6CB4">
        <w:rPr>
          <w:sz w:val="20"/>
        </w:rPr>
        <w:t xml:space="preserve"> Taxes (taxes other than income taxes and taxes associated with the return on rate base), as related to Current Net Distribution Invested capital, calculated using current tax rates and the methodology from the last comprehensive base-rate proceeding, and not including municipal franchise fees.</w:t>
      </w:r>
    </w:p>
    <w:p w:rsidR="00951FF1" w:rsidRPr="00CE6CB4" w:rsidP="004A47E7" w14:paraId="442ABA0D"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0E"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OT</w:t>
      </w:r>
      <w:r w:rsidRPr="00CE6CB4">
        <w:rPr>
          <w:sz w:val="20"/>
          <w:vertAlign w:val="subscript"/>
        </w:rPr>
        <w:t>RC</w:t>
      </w:r>
      <w:r w:rsidRPr="00CE6CB4">
        <w:rPr>
          <w:sz w:val="20"/>
          <w:vertAlign w:val="subscript"/>
        </w:rPr>
        <w:tab/>
      </w:r>
      <w:r w:rsidRPr="00CE6CB4">
        <w:rPr>
          <w:sz w:val="20"/>
        </w:rPr>
        <w:t>=</w:t>
      </w:r>
      <w:r w:rsidRPr="00CE6CB4">
        <w:rPr>
          <w:sz w:val="20"/>
        </w:rPr>
        <w:tab/>
        <w:t>Other Taxes, as related to Net Distribution Invested Capital from the last comprehensive base-rate proceeding, and not including municipal franchise fees.</w:t>
      </w:r>
    </w:p>
    <w:p w:rsidR="0030659F" w:rsidP="004A47E7" w14:paraId="442ABA0F"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10" w14:textId="673EF746">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DISTREV</w:t>
      </w:r>
      <w:r w:rsidRPr="00CE6CB4">
        <w:rPr>
          <w:sz w:val="20"/>
          <w:vertAlign w:val="subscript"/>
        </w:rPr>
        <w:t>RC-CLASS</w:t>
      </w:r>
      <w:r w:rsidRPr="00CE6CB4">
        <w:rPr>
          <w:sz w:val="20"/>
        </w:rPr>
        <w:t xml:space="preserve"> (Distribution Revenues by rate class based on Net Distribution Invested Capital from the </w:t>
      </w:r>
      <w:r w:rsidRPr="00391B83" w:rsidR="00391B83">
        <w:rPr>
          <w:noProof/>
          <w:sz w:val="20"/>
        </w:rPr>
        <mc:AlternateContent>
          <mc:Choice Requires="wps">
            <w:drawing>
              <wp:anchor distT="45720" distB="45720" distL="114300" distR="114300" simplePos="0" relativeHeight="251660288" behindDoc="0" locked="0" layoutInCell="1" allowOverlap="1">
                <wp:simplePos x="0" y="0"/>
                <wp:positionH relativeFrom="margin">
                  <wp:posOffset>4643561</wp:posOffset>
                </wp:positionH>
                <wp:positionV relativeFrom="page">
                  <wp:posOffset>349250</wp:posOffset>
                </wp:positionV>
                <wp:extent cx="1256030" cy="1645920"/>
                <wp:effectExtent l="0" t="0" r="1270" b="0"/>
                <wp:wrapSquare wrapText="bothSides"/>
                <wp:docPr id="1"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256030" cy="1645920"/>
                        </a:xfrm>
                        <a:prstGeom prst="rect">
                          <a:avLst/>
                        </a:prstGeom>
                        <a:solidFill>
                          <a:srgbClr val="FFFFFF"/>
                        </a:solidFill>
                        <a:ln w="9525">
                          <a:noFill/>
                          <a:miter lim="800000"/>
                          <a:headEnd/>
                          <a:tailEnd/>
                        </a:ln>
                      </wps:spPr>
                      <wps:txbx>
                        <w:txbxContent>
                          <w:p w:rsidR="00391B83" w:rsidRPr="00391B83" w:rsidP="00391B83" w14:textId="77777777">
                            <w:pPr>
                              <w:rPr>
                                <w:rFonts w:ascii="Arial" w:hAnsi="Arial" w:cs="Arial"/>
                                <w:color w:val="auto"/>
                                <w:shd w:val="clear" w:color="auto" w:fill="auto"/>
                              </w:rPr>
                            </w:pPr>
                            <w:r w:rsidRPr="00391B83">
                              <w:rPr>
                                <w:rFonts w:ascii="Arial" w:hAnsi="Arial" w:cs="Arial"/>
                              </w:rPr>
                              <w:t>Exhibit MAT-5</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6" type="#_x0000_t202" style="width:98.9pt;height:21.7pt;margin-top:27.5pt;margin-left:365.65pt;mso-height-percent:200;mso-height-relative:margin;mso-position-horizontal-relative:margin;mso-position-vertical-relative:page;mso-width-percent:0;mso-width-relative:margin;mso-wrap-distance-bottom:3.6pt;mso-wrap-distance-left:9pt;mso-wrap-distance-right:9pt;mso-wrap-distance-top:3.6pt;mso-wrap-style:square;position:absolute;visibility:visible;v-text-anchor:top;z-index:251661312" stroked="f">
                <v:textbox style="mso-fit-shape-to-text:t">
                  <w:txbxContent>
                    <w:p w:rsidR="00391B83" w:rsidRPr="00391B83" w:rsidP="00391B83" w14:paraId="357F9501" w14:textId="77777777">
                      <w:pPr>
                        <w:rPr>
                          <w:rFonts w:ascii="Arial" w:hAnsi="Arial" w:cs="Arial"/>
                        </w:rPr>
                      </w:pPr>
                      <w:r w:rsidRPr="00391B83">
                        <w:rPr>
                          <w:rFonts w:ascii="Arial" w:hAnsi="Arial" w:cs="Arial"/>
                        </w:rPr>
                        <w:t>Exhibit MAT-5</w:t>
                      </w:r>
                    </w:p>
                  </w:txbxContent>
                </v:textbox>
                <w10:wrap type="square"/>
              </v:shape>
            </w:pict>
          </mc:Fallback>
        </mc:AlternateContent>
      </w:r>
      <w:r w:rsidRPr="00CE6CB4">
        <w:rPr>
          <w:sz w:val="20"/>
        </w:rPr>
        <w:t>last comprehensive base-rate proceeding) = (DIC</w:t>
      </w:r>
      <w:r w:rsidRPr="00CE6CB4">
        <w:rPr>
          <w:sz w:val="20"/>
          <w:vertAlign w:val="subscript"/>
        </w:rPr>
        <w:t xml:space="preserve">RC-CLASS </w:t>
      </w:r>
      <w:r w:rsidRPr="00CE6CB4">
        <w:rPr>
          <w:sz w:val="20"/>
        </w:rPr>
        <w:t>* ROR</w:t>
      </w:r>
      <w:r w:rsidRPr="00CE6CB4">
        <w:rPr>
          <w:sz w:val="20"/>
          <w:vertAlign w:val="subscript"/>
        </w:rPr>
        <w:t>AT</w:t>
      </w:r>
      <w:r w:rsidRPr="00CE6CB4">
        <w:rPr>
          <w:sz w:val="20"/>
        </w:rPr>
        <w:t>) + DEPR</w:t>
      </w:r>
      <w:r w:rsidRPr="00CE6CB4">
        <w:rPr>
          <w:sz w:val="20"/>
          <w:vertAlign w:val="subscript"/>
        </w:rPr>
        <w:t>RC-CLASS</w:t>
      </w:r>
      <w:r w:rsidRPr="00CE6CB4">
        <w:rPr>
          <w:sz w:val="20"/>
        </w:rPr>
        <w:t xml:space="preserve"> + FIT</w:t>
      </w:r>
      <w:r w:rsidRPr="00CE6CB4">
        <w:rPr>
          <w:sz w:val="20"/>
          <w:vertAlign w:val="subscript"/>
        </w:rPr>
        <w:t>RC-CLASS</w:t>
      </w:r>
      <w:r w:rsidRPr="00CE6CB4">
        <w:rPr>
          <w:sz w:val="20"/>
        </w:rPr>
        <w:t xml:space="preserve"> + OT</w:t>
      </w:r>
      <w:r w:rsidRPr="00CE6CB4">
        <w:rPr>
          <w:sz w:val="20"/>
          <w:vertAlign w:val="subscript"/>
        </w:rPr>
        <w:t>RC-CLASS</w:t>
      </w:r>
      <w:r w:rsidRPr="00CE6CB4">
        <w:rPr>
          <w:sz w:val="20"/>
        </w:rPr>
        <w:t>.</w:t>
      </w:r>
    </w:p>
    <w:p w:rsidR="00951FF1" w:rsidRPr="00CE6CB4" w:rsidP="004A47E7" w14:paraId="442ABA11"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12"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%GROWTH</w:t>
      </w:r>
      <w:r w:rsidRPr="00CE6CB4">
        <w:rPr>
          <w:sz w:val="20"/>
          <w:vertAlign w:val="subscript"/>
        </w:rPr>
        <w:t>CLASS</w:t>
      </w:r>
      <w:r w:rsidRPr="00CE6CB4">
        <w:rPr>
          <w:sz w:val="20"/>
        </w:rPr>
        <w:t xml:space="preserve"> (Growth in Billing Determinants by Class) = (BD</w:t>
      </w:r>
      <w:r w:rsidRPr="00CE6CB4">
        <w:rPr>
          <w:sz w:val="20"/>
          <w:vertAlign w:val="subscript"/>
        </w:rPr>
        <w:t>C-CLASS</w:t>
      </w:r>
      <w:r w:rsidRPr="00CE6CB4">
        <w:rPr>
          <w:sz w:val="20"/>
        </w:rPr>
        <w:t xml:space="preserve"> – BD</w:t>
      </w:r>
      <w:r w:rsidRPr="00CE6CB4">
        <w:rPr>
          <w:sz w:val="20"/>
          <w:vertAlign w:val="subscript"/>
        </w:rPr>
        <w:t>RC-CLASS</w:t>
      </w:r>
      <w:r w:rsidRPr="00CE6CB4">
        <w:rPr>
          <w:sz w:val="20"/>
        </w:rPr>
        <w:t>) / BC</w:t>
      </w:r>
      <w:r w:rsidRPr="00CE6CB4">
        <w:rPr>
          <w:sz w:val="20"/>
          <w:vertAlign w:val="subscript"/>
        </w:rPr>
        <w:t>RC-CLASS</w:t>
      </w:r>
      <w:r w:rsidRPr="00CE6CB4">
        <w:rPr>
          <w:sz w:val="20"/>
        </w:rPr>
        <w:t>.</w:t>
      </w:r>
    </w:p>
    <w:p w:rsidR="00951FF1" w:rsidRPr="00CE6CB4" w:rsidP="004A47E7" w14:paraId="442ABA13"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14"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DIC</w:t>
      </w:r>
      <w:r w:rsidRPr="00CE6CB4">
        <w:rPr>
          <w:sz w:val="20"/>
          <w:vertAlign w:val="subscript"/>
        </w:rPr>
        <w:t>RC-CLASS</w:t>
      </w:r>
      <w:r w:rsidRPr="00CE6CB4">
        <w:rPr>
          <w:sz w:val="20"/>
        </w:rPr>
        <w:t xml:space="preserve"> = </w:t>
      </w:r>
      <w:r w:rsidRPr="00CE6CB4">
        <w:rPr>
          <w:sz w:val="20"/>
        </w:rPr>
        <w:tab/>
        <w:t>Net Distribution Invested Capital allocated to the rate class from the last comprehensive base-rate proceeding.</w:t>
      </w:r>
    </w:p>
    <w:p w:rsidR="00951FF1" w:rsidRPr="00CE6CB4" w:rsidP="004A47E7" w14:paraId="442ABA15"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16"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DEPR</w:t>
      </w:r>
      <w:r w:rsidRPr="00CE6CB4">
        <w:rPr>
          <w:sz w:val="20"/>
          <w:vertAlign w:val="subscript"/>
        </w:rPr>
        <w:t>RC-CLASS</w:t>
      </w:r>
      <w:r w:rsidRPr="00CE6CB4">
        <w:rPr>
          <w:sz w:val="20"/>
        </w:rPr>
        <w:t xml:space="preserve"> =</w:t>
      </w:r>
      <w:r w:rsidRPr="00CE6CB4">
        <w:rPr>
          <w:sz w:val="20"/>
        </w:rPr>
        <w:tab/>
        <w:t>Depreciation Expense, as related to Gross Distribution Invested Capital, allocated to the rate class in the last comprehensive base-rate proceeding.</w:t>
      </w:r>
    </w:p>
    <w:p w:rsidR="00951FF1" w:rsidRPr="00CE6CB4" w:rsidP="004A47E7" w14:paraId="442ABA17"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18"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FIT</w:t>
      </w:r>
      <w:r w:rsidRPr="00CE6CB4">
        <w:rPr>
          <w:sz w:val="20"/>
          <w:vertAlign w:val="subscript"/>
        </w:rPr>
        <w:t>RC-CLASS</w:t>
      </w:r>
      <w:r w:rsidRPr="00CE6CB4">
        <w:rPr>
          <w:sz w:val="20"/>
        </w:rPr>
        <w:t xml:space="preserve"> =</w:t>
      </w:r>
      <w:r w:rsidRPr="00CE6CB4">
        <w:rPr>
          <w:sz w:val="20"/>
        </w:rPr>
        <w:tab/>
        <w:t>Federal Income Tax, as related to Net Distribution Invested Capital, allocated to the rate class in the last comprehensive base-rate proceeding.</w:t>
      </w:r>
    </w:p>
    <w:p w:rsidR="00951FF1" w:rsidRPr="00CE6CB4" w:rsidP="004A47E7" w14:paraId="442ABA19"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1A"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vertAlign w:val="subscript"/>
        </w:rPr>
      </w:pPr>
      <w:r w:rsidRPr="00CE6CB4">
        <w:rPr>
          <w:sz w:val="20"/>
        </w:rPr>
        <w:t>OT</w:t>
      </w:r>
      <w:r w:rsidRPr="00CE6CB4">
        <w:rPr>
          <w:sz w:val="20"/>
          <w:vertAlign w:val="subscript"/>
        </w:rPr>
        <w:t>RC-CLASS</w:t>
      </w:r>
      <w:r w:rsidRPr="00CE6CB4">
        <w:rPr>
          <w:sz w:val="20"/>
        </w:rPr>
        <w:t xml:space="preserve"> =</w:t>
      </w:r>
      <w:r w:rsidRPr="00CE6CB4">
        <w:rPr>
          <w:sz w:val="20"/>
        </w:rPr>
        <w:tab/>
        <w:t>Other Taxes, as related to Net Distribution Invested Capital, allocated to the rate class in the last comprehensive base-rate proceeding, and not including municipal franchise fees.</w:t>
      </w:r>
      <w:r w:rsidRPr="00CE6CB4">
        <w:rPr>
          <w:sz w:val="20"/>
          <w:vertAlign w:val="subscript"/>
        </w:rPr>
        <w:tab/>
      </w:r>
    </w:p>
    <w:p w:rsidR="00951FF1" w:rsidRPr="00CE6CB4" w:rsidP="004A47E7" w14:paraId="442ABA1B"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1C"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vertAlign w:val="subscript"/>
        </w:rPr>
      </w:pPr>
      <w:r w:rsidRPr="00CE6CB4">
        <w:rPr>
          <w:sz w:val="20"/>
        </w:rPr>
        <w:t>ALLOC</w:t>
      </w:r>
      <w:r w:rsidRPr="00CE6CB4">
        <w:rPr>
          <w:sz w:val="20"/>
          <w:vertAlign w:val="subscript"/>
        </w:rPr>
        <w:t>CLASS</w:t>
      </w:r>
      <w:r w:rsidRPr="00CE6CB4">
        <w:rPr>
          <w:sz w:val="20"/>
        </w:rPr>
        <w:t xml:space="preserve"> =</w:t>
      </w:r>
      <w:r w:rsidRPr="00CE6CB4">
        <w:rPr>
          <w:sz w:val="20"/>
        </w:rPr>
        <w:tab/>
        <w:t>Rate Class Allocation Factor approved in the last comprehensive base-rate proceeding, calculated as:  total net distribution plant allocated to rate class, divided by total net distribution plant.  For situations in which data from the last comprehensive base-rate proceeding are not available to perform the described calculation, the Rate Class Allocation Factor shall be calculated as the total distribution revenue requirement allocated to the rate class ( less any identifiable amounts explicitly unrelated to Distribution Invested Capital) divided by the total distribution revenue requirement (less any identifiable amounts explicitly unrelated to Distribution Invested Capital) for all classes as approved by the commission in the electric utility’s last comprehensive base-rate case.</w:t>
      </w:r>
    </w:p>
    <w:p w:rsidR="00951FF1" w:rsidRPr="00CE6CB4" w:rsidP="004A47E7" w14:paraId="442ABA1D" w14:textId="77777777">
      <w:pPr>
        <w:tabs>
          <w:tab w:val="left" w:pos="600"/>
          <w:tab w:val="left" w:pos="1440"/>
          <w:tab w:val="left" w:pos="2040"/>
          <w:tab w:val="left" w:pos="3000"/>
          <w:tab w:val="left" w:pos="4320"/>
          <w:tab w:val="left" w:pos="5760"/>
          <w:tab w:val="left" w:pos="6720"/>
        </w:tabs>
        <w:jc w:val="both"/>
        <w:rPr>
          <w:color w:val="auto"/>
          <w:sz w:val="20"/>
          <w:shd w:val="clear" w:color="auto" w:fill="auto"/>
        </w:rPr>
      </w:pPr>
    </w:p>
    <w:p w:rsidR="00951FF1" w:rsidRPr="00CE6CB4" w:rsidP="004A47E7" w14:paraId="442ABA1E"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ab/>
      </w:r>
      <w:r w:rsidRPr="00CE6CB4">
        <w:rPr>
          <w:sz w:val="20"/>
        </w:rPr>
        <w:tab/>
        <w:t>The Allocation Factor for each listed rate schedule is as follows:</w:t>
      </w:r>
    </w:p>
    <w:p w:rsidR="00951FF1" w:rsidRPr="00CE6CB4" w:rsidP="004A47E7" w14:paraId="442ABA1F" w14:textId="77777777">
      <w:pPr>
        <w:tabs>
          <w:tab w:val="left" w:pos="600"/>
          <w:tab w:val="left" w:pos="1440"/>
          <w:tab w:val="left" w:pos="2040"/>
          <w:tab w:val="left" w:pos="3000"/>
          <w:tab w:val="left" w:pos="4320"/>
          <w:tab w:val="left" w:pos="5760"/>
          <w:tab w:val="left" w:pos="6720"/>
        </w:tabs>
        <w:jc w:val="both"/>
        <w:rPr>
          <w:color w:val="auto"/>
          <w:sz w:val="20"/>
          <w:shd w:val="clear" w:color="auto" w:fill="auto"/>
        </w:rPr>
      </w:pPr>
      <w:r w:rsidRPr="00CE6CB4">
        <w:rPr>
          <w:sz w:val="20"/>
        </w:rPr>
        <w:tab/>
      </w:r>
    </w:p>
    <w:p w:rsidR="00773ECF" w:rsidRPr="00461702" w:rsidP="00773ECF" w14:paraId="36D2EC53" w14:textId="77777777">
      <w:pPr>
        <w:tabs>
          <w:tab w:val="left" w:pos="600"/>
          <w:tab w:val="left" w:pos="1440"/>
          <w:tab w:val="left" w:pos="2040"/>
          <w:tab w:val="left" w:pos="3000"/>
          <w:tab w:val="left" w:pos="4320"/>
          <w:tab w:val="left" w:pos="5760"/>
          <w:tab w:val="left" w:pos="6720"/>
          <w:tab w:val="right" w:pos="8280"/>
        </w:tabs>
        <w:ind w:firstLine="2070"/>
        <w:jc w:val="both"/>
        <w:rPr>
          <w:color w:val="auto"/>
          <w:sz w:val="20"/>
          <w:shd w:val="clear" w:color="auto" w:fill="auto"/>
        </w:rPr>
      </w:pPr>
      <w:bookmarkStart w:id="4" w:name="OLE_LINK1"/>
      <w:r w:rsidRPr="00461702">
        <w:rPr>
          <w:sz w:val="20"/>
        </w:rPr>
        <w:t>Residential Service</w:t>
      </w:r>
      <w:r w:rsidRPr="00461702">
        <w:rPr>
          <w:sz w:val="20"/>
        </w:rPr>
        <w:tab/>
      </w:r>
      <w:r w:rsidRPr="00461702">
        <w:rPr>
          <w:sz w:val="20"/>
        </w:rPr>
        <w:tab/>
      </w:r>
      <w:r w:rsidRPr="00461702">
        <w:rPr>
          <w:sz w:val="20"/>
        </w:rPr>
        <w:tab/>
      </w:r>
      <w:r w:rsidRPr="00461702">
        <w:rPr>
          <w:sz w:val="20"/>
        </w:rPr>
        <w:tab/>
        <w:t>55.8203%</w:t>
      </w:r>
    </w:p>
    <w:p w:rsidR="00773ECF" w:rsidRPr="00461702" w:rsidP="00773ECF" w14:paraId="54C0EC71" w14:textId="77777777">
      <w:pPr>
        <w:tabs>
          <w:tab w:val="left" w:pos="600"/>
          <w:tab w:val="left" w:pos="1440"/>
          <w:tab w:val="left" w:pos="2040"/>
          <w:tab w:val="left" w:pos="3000"/>
          <w:tab w:val="left" w:pos="4320"/>
          <w:tab w:val="left" w:pos="5760"/>
          <w:tab w:val="left" w:pos="6720"/>
          <w:tab w:val="right" w:pos="8280"/>
        </w:tabs>
        <w:ind w:left="1440" w:firstLine="630"/>
        <w:jc w:val="both"/>
        <w:rPr>
          <w:color w:val="auto"/>
          <w:sz w:val="20"/>
          <w:shd w:val="clear" w:color="auto" w:fill="auto"/>
        </w:rPr>
      </w:pPr>
      <w:r w:rsidRPr="00461702">
        <w:rPr>
          <w:sz w:val="20"/>
        </w:rPr>
        <w:t>Secondary Service Less Than or Equal to 10 kW</w:t>
      </w:r>
      <w:r w:rsidRPr="00461702">
        <w:rPr>
          <w:sz w:val="20"/>
        </w:rPr>
        <w:tab/>
        <w:t xml:space="preserve"> </w:t>
      </w:r>
      <w:r w:rsidRPr="00461702">
        <w:rPr>
          <w:sz w:val="20"/>
        </w:rPr>
        <w:tab/>
        <w:t>2.0953%</w:t>
      </w:r>
    </w:p>
    <w:p w:rsidR="00773ECF" w:rsidRPr="00461702" w:rsidP="00773ECF" w14:paraId="083B7F0D" w14:textId="77777777">
      <w:pPr>
        <w:tabs>
          <w:tab w:val="left" w:pos="600"/>
          <w:tab w:val="left" w:pos="1440"/>
          <w:tab w:val="left" w:pos="2040"/>
          <w:tab w:val="left" w:pos="3000"/>
          <w:tab w:val="left" w:pos="4320"/>
          <w:tab w:val="left" w:pos="5760"/>
          <w:tab w:val="left" w:pos="6720"/>
          <w:tab w:val="right" w:pos="8280"/>
        </w:tabs>
        <w:ind w:left="1440" w:firstLine="630"/>
        <w:jc w:val="both"/>
        <w:rPr>
          <w:color w:val="auto"/>
          <w:sz w:val="20"/>
          <w:shd w:val="clear" w:color="auto" w:fill="auto"/>
        </w:rPr>
      </w:pPr>
      <w:r w:rsidRPr="00461702">
        <w:rPr>
          <w:sz w:val="20"/>
        </w:rPr>
        <w:t>Secondary Service Greater Than 10 kW</w:t>
      </w:r>
      <w:r w:rsidRPr="00461702">
        <w:rPr>
          <w:sz w:val="20"/>
        </w:rPr>
        <w:tab/>
      </w:r>
      <w:r w:rsidRPr="00461702">
        <w:rPr>
          <w:sz w:val="20"/>
        </w:rPr>
        <w:tab/>
      </w:r>
      <w:r w:rsidRPr="00461702">
        <w:rPr>
          <w:sz w:val="20"/>
        </w:rPr>
        <w:tab/>
        <w:t>34.9913%</w:t>
      </w:r>
    </w:p>
    <w:p w:rsidR="00773ECF" w:rsidRPr="00461702" w:rsidP="00773ECF" w14:paraId="6D85BA96" w14:textId="77777777">
      <w:pPr>
        <w:tabs>
          <w:tab w:val="left" w:pos="600"/>
          <w:tab w:val="left" w:pos="1440"/>
          <w:tab w:val="left" w:pos="2040"/>
          <w:tab w:val="left" w:pos="3000"/>
          <w:tab w:val="left" w:pos="4320"/>
          <w:tab w:val="left" w:pos="5760"/>
          <w:tab w:val="left" w:pos="6720"/>
          <w:tab w:val="right" w:pos="8280"/>
        </w:tabs>
        <w:ind w:left="1440" w:firstLine="630"/>
        <w:jc w:val="both"/>
        <w:rPr>
          <w:color w:val="auto"/>
          <w:sz w:val="20"/>
          <w:shd w:val="clear" w:color="auto" w:fill="auto"/>
        </w:rPr>
      </w:pPr>
      <w:r w:rsidRPr="00461702">
        <w:rPr>
          <w:sz w:val="20"/>
        </w:rPr>
        <w:t>Primary Service Less Than or Equal to 10 kW</w:t>
      </w:r>
      <w:r w:rsidRPr="00461702">
        <w:rPr>
          <w:sz w:val="20"/>
        </w:rPr>
        <w:tab/>
      </w:r>
      <w:r w:rsidRPr="00461702">
        <w:rPr>
          <w:sz w:val="20"/>
        </w:rPr>
        <w:tab/>
        <w:t>0.0284%</w:t>
      </w:r>
    </w:p>
    <w:p w:rsidR="00773ECF" w:rsidRPr="00461702" w:rsidP="00773ECF" w14:paraId="3E53F46B" w14:textId="5737916A">
      <w:pPr>
        <w:tabs>
          <w:tab w:val="left" w:pos="600"/>
          <w:tab w:val="left" w:pos="1440"/>
          <w:tab w:val="left" w:pos="2040"/>
          <w:tab w:val="left" w:pos="3000"/>
          <w:tab w:val="left" w:pos="4320"/>
          <w:tab w:val="left" w:pos="5760"/>
          <w:tab w:val="left" w:pos="6720"/>
          <w:tab w:val="right" w:pos="8280"/>
        </w:tabs>
        <w:ind w:left="1440" w:firstLine="630"/>
        <w:jc w:val="both"/>
        <w:rPr>
          <w:color w:val="auto"/>
          <w:sz w:val="20"/>
          <w:shd w:val="clear" w:color="auto" w:fill="auto"/>
        </w:rPr>
      </w:pPr>
      <w:r w:rsidRPr="00461702">
        <w:rPr>
          <w:sz w:val="20"/>
        </w:rPr>
        <w:t>Primary Service Greater Than 10 kW Distribution Line</w:t>
      </w:r>
      <w:r w:rsidRPr="00461702">
        <w:rPr>
          <w:sz w:val="20"/>
        </w:rPr>
        <w:tab/>
      </w:r>
      <w:r w:rsidR="00083A8E">
        <w:rPr>
          <w:sz w:val="20"/>
        </w:rPr>
        <w:tab/>
      </w:r>
      <w:r w:rsidRPr="00461702">
        <w:rPr>
          <w:sz w:val="20"/>
        </w:rPr>
        <w:t>5.5524%</w:t>
      </w:r>
    </w:p>
    <w:p w:rsidR="00773ECF" w:rsidRPr="00461702" w:rsidP="00773ECF" w14:paraId="35D48450" w14:textId="77777777">
      <w:pPr>
        <w:tabs>
          <w:tab w:val="left" w:pos="600"/>
          <w:tab w:val="left" w:pos="1440"/>
          <w:tab w:val="left" w:pos="2040"/>
          <w:tab w:val="left" w:pos="3000"/>
          <w:tab w:val="left" w:pos="4320"/>
          <w:tab w:val="left" w:pos="5760"/>
          <w:tab w:val="right" w:pos="8280"/>
        </w:tabs>
        <w:ind w:left="1440" w:firstLine="630"/>
        <w:jc w:val="both"/>
        <w:rPr>
          <w:color w:val="auto"/>
          <w:sz w:val="20"/>
          <w:shd w:val="clear" w:color="auto" w:fill="auto"/>
        </w:rPr>
      </w:pPr>
      <w:r w:rsidRPr="00461702">
        <w:rPr>
          <w:sz w:val="20"/>
        </w:rPr>
        <w:t>Primary Service Greater Than 10 kW Substation</w:t>
      </w:r>
      <w:r w:rsidRPr="00461702">
        <w:rPr>
          <w:sz w:val="20"/>
        </w:rPr>
        <w:tab/>
        <w:t>0.5328%</w:t>
      </w:r>
    </w:p>
    <w:p w:rsidR="00773ECF" w:rsidRPr="00461702" w:rsidP="00773ECF" w14:paraId="34E4C9EE" w14:textId="77777777">
      <w:pPr>
        <w:tabs>
          <w:tab w:val="left" w:pos="600"/>
          <w:tab w:val="left" w:pos="1440"/>
          <w:tab w:val="left" w:pos="2040"/>
          <w:tab w:val="left" w:pos="3000"/>
          <w:tab w:val="left" w:pos="4320"/>
          <w:tab w:val="left" w:pos="5760"/>
          <w:tab w:val="right" w:pos="8280"/>
        </w:tabs>
        <w:ind w:left="1440" w:firstLine="630"/>
        <w:jc w:val="both"/>
        <w:rPr>
          <w:color w:val="auto"/>
          <w:sz w:val="20"/>
          <w:shd w:val="clear" w:color="auto" w:fill="auto"/>
        </w:rPr>
      </w:pPr>
      <w:r w:rsidRPr="00461702">
        <w:rPr>
          <w:sz w:val="20"/>
        </w:rPr>
        <w:t>Transmission Service</w:t>
      </w:r>
      <w:r w:rsidRPr="00461702">
        <w:rPr>
          <w:sz w:val="20"/>
        </w:rPr>
        <w:tab/>
      </w:r>
      <w:r w:rsidRPr="00461702">
        <w:rPr>
          <w:sz w:val="20"/>
        </w:rPr>
        <w:tab/>
      </w:r>
      <w:r w:rsidRPr="00461702">
        <w:rPr>
          <w:sz w:val="20"/>
        </w:rPr>
        <w:tab/>
        <w:t>0.1234%</w:t>
      </w:r>
    </w:p>
    <w:p w:rsidR="00773ECF" w:rsidRPr="00461702" w:rsidP="00773ECF" w14:paraId="48237345" w14:textId="77777777">
      <w:pPr>
        <w:tabs>
          <w:tab w:val="left" w:pos="600"/>
          <w:tab w:val="left" w:pos="1440"/>
          <w:tab w:val="left" w:pos="2040"/>
          <w:tab w:val="left" w:pos="3000"/>
          <w:tab w:val="left" w:pos="4320"/>
          <w:tab w:val="left" w:pos="5760"/>
          <w:tab w:val="right" w:pos="8280"/>
        </w:tabs>
        <w:ind w:left="1440" w:firstLine="630"/>
        <w:jc w:val="both"/>
        <w:rPr>
          <w:color w:val="auto"/>
          <w:sz w:val="20"/>
          <w:shd w:val="clear" w:color="auto" w:fill="auto"/>
        </w:rPr>
      </w:pPr>
      <w:r w:rsidRPr="00461702">
        <w:rPr>
          <w:sz w:val="20"/>
        </w:rPr>
        <w:t>Lighting Service</w:t>
      </w:r>
      <w:r w:rsidRPr="00461702">
        <w:rPr>
          <w:sz w:val="20"/>
        </w:rPr>
        <w:tab/>
      </w:r>
      <w:r w:rsidRPr="00461702">
        <w:rPr>
          <w:sz w:val="20"/>
        </w:rPr>
        <w:tab/>
      </w:r>
      <w:r w:rsidRPr="00461702">
        <w:rPr>
          <w:sz w:val="20"/>
        </w:rPr>
        <w:tab/>
        <w:t>0.5060%</w:t>
      </w:r>
    </w:p>
    <w:p w:rsidR="00773ECF" w:rsidRPr="00461702" w:rsidP="00773ECF" w14:paraId="130A06AB" w14:textId="77777777">
      <w:pPr>
        <w:tabs>
          <w:tab w:val="left" w:pos="600"/>
          <w:tab w:val="left" w:pos="1440"/>
          <w:tab w:val="left" w:pos="2040"/>
          <w:tab w:val="left" w:pos="3000"/>
          <w:tab w:val="left" w:pos="4320"/>
          <w:tab w:val="left" w:pos="5760"/>
          <w:tab w:val="right" w:pos="8280"/>
        </w:tabs>
        <w:ind w:left="1440" w:firstLine="630"/>
        <w:jc w:val="both"/>
        <w:rPr>
          <w:color w:val="auto"/>
          <w:sz w:val="20"/>
          <w:shd w:val="clear" w:color="auto" w:fill="auto"/>
        </w:rPr>
      </w:pPr>
      <w:r w:rsidRPr="00461702">
        <w:rPr>
          <w:sz w:val="20"/>
        </w:rPr>
        <w:t>Wholesale Service</w:t>
      </w:r>
      <w:r w:rsidRPr="00461702">
        <w:rPr>
          <w:sz w:val="20"/>
        </w:rPr>
        <w:tab/>
      </w:r>
    </w:p>
    <w:p w:rsidR="00773ECF" w:rsidRPr="00461702" w:rsidP="00773ECF" w14:paraId="02AE977B" w14:textId="77777777">
      <w:pPr>
        <w:tabs>
          <w:tab w:val="left" w:pos="600"/>
          <w:tab w:val="left" w:pos="1440"/>
          <w:tab w:val="left" w:pos="2040"/>
          <w:tab w:val="left" w:pos="3000"/>
          <w:tab w:val="left" w:pos="4320"/>
          <w:tab w:val="left" w:pos="5760"/>
          <w:tab w:val="right" w:pos="8280"/>
        </w:tabs>
        <w:ind w:left="1440" w:firstLine="630"/>
        <w:jc w:val="both"/>
        <w:rPr>
          <w:color w:val="auto"/>
          <w:sz w:val="20"/>
          <w:shd w:val="clear" w:color="auto" w:fill="auto"/>
        </w:rPr>
      </w:pPr>
      <w:r w:rsidRPr="00461702">
        <w:rPr>
          <w:sz w:val="20"/>
        </w:rPr>
        <w:tab/>
        <w:t>Substation</w:t>
      </w:r>
      <w:r w:rsidRPr="00461702">
        <w:rPr>
          <w:sz w:val="20"/>
        </w:rPr>
        <w:tab/>
      </w:r>
      <w:r w:rsidRPr="00461702">
        <w:rPr>
          <w:sz w:val="20"/>
        </w:rPr>
        <w:tab/>
      </w:r>
      <w:r w:rsidRPr="00461702">
        <w:rPr>
          <w:sz w:val="20"/>
        </w:rPr>
        <w:tab/>
        <w:t>0.0638%</w:t>
      </w:r>
      <w:r w:rsidRPr="00461702">
        <w:rPr>
          <w:sz w:val="20"/>
        </w:rPr>
        <w:tab/>
      </w:r>
      <w:r w:rsidRPr="00461702">
        <w:rPr>
          <w:sz w:val="20"/>
        </w:rPr>
        <w:tab/>
      </w:r>
    </w:p>
    <w:p w:rsidR="00951FF1" w:rsidRPr="00773ECF" w:rsidP="004A47E7" w14:paraId="442ABA2A" w14:textId="0D972EE4">
      <w:pPr>
        <w:tabs>
          <w:tab w:val="left" w:pos="600"/>
          <w:tab w:val="left" w:pos="1440"/>
          <w:tab w:val="left" w:pos="2040"/>
          <w:tab w:val="left" w:pos="3000"/>
          <w:tab w:val="left" w:pos="4320"/>
          <w:tab w:val="left" w:pos="5760"/>
          <w:tab w:val="right" w:pos="8280"/>
        </w:tabs>
        <w:ind w:left="1440" w:firstLine="630"/>
        <w:jc w:val="both"/>
        <w:rPr>
          <w:color w:val="auto"/>
          <w:sz w:val="20"/>
          <w:shd w:val="clear" w:color="auto" w:fill="auto"/>
        </w:rPr>
      </w:pPr>
      <w:r w:rsidRPr="00461702">
        <w:rPr>
          <w:sz w:val="20"/>
        </w:rPr>
        <w:tab/>
        <w:t>Distribution Line</w:t>
      </w:r>
      <w:r w:rsidRPr="00461702">
        <w:rPr>
          <w:sz w:val="20"/>
        </w:rPr>
        <w:tab/>
      </w:r>
      <w:r w:rsidRPr="00461702">
        <w:rPr>
          <w:sz w:val="20"/>
        </w:rPr>
        <w:tab/>
        <w:t>0.2863%</w:t>
      </w:r>
      <w:bookmarkEnd w:id="4"/>
      <w:r w:rsidRPr="00773ECF" w:rsidR="0098017E">
        <w:rPr>
          <w:sz w:val="20"/>
        </w:rPr>
        <w:tab/>
      </w:r>
    </w:p>
    <w:p w:rsidR="00951FF1" w:rsidRPr="00773ECF" w:rsidP="004A47E7" w14:paraId="442ABA2B"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2C"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BD</w:t>
      </w:r>
      <w:r w:rsidRPr="00CE6CB4">
        <w:rPr>
          <w:sz w:val="20"/>
          <w:vertAlign w:val="subscript"/>
        </w:rPr>
        <w:t>C-CLASS</w:t>
      </w:r>
      <w:r w:rsidRPr="00CE6CB4">
        <w:rPr>
          <w:sz w:val="20"/>
        </w:rPr>
        <w:t xml:space="preserve"> =</w:t>
      </w:r>
      <w:r w:rsidRPr="00CE6CB4">
        <w:rPr>
          <w:sz w:val="20"/>
        </w:rPr>
        <w:tab/>
        <w:t xml:space="preserve">Rate Class Billing Determinants (weather-normalized and adjusted to reflect the number of customers at the end of the period) for the 12 months ending on the date used for purposes of determining the Current Net Distribution Invested Capital.  For customer classes billed primarily on the basis of kilowatt-hour billing determinants, the </w:t>
      </w:r>
      <w:r w:rsidR="001611DA">
        <w:rPr>
          <w:sz w:val="20"/>
        </w:rPr>
        <w:t>W</w:t>
      </w:r>
      <w:r w:rsidRPr="00CE6CB4">
        <w:rPr>
          <w:sz w:val="20"/>
        </w:rPr>
        <w:t xml:space="preserve">DCRF shall be calculated using kilowatt-hour billing determinants.  For customer classes billed primarily on the basis of demand billing determinants, the </w:t>
      </w:r>
      <w:r w:rsidR="001611DA">
        <w:rPr>
          <w:sz w:val="20"/>
        </w:rPr>
        <w:t>W</w:t>
      </w:r>
      <w:r w:rsidRPr="00CE6CB4">
        <w:rPr>
          <w:sz w:val="20"/>
        </w:rPr>
        <w:t>DCRF shall be calculated using demand billing determinants.</w:t>
      </w:r>
    </w:p>
    <w:p w:rsidR="0030659F" w:rsidP="004A47E7" w14:paraId="442ABA2D"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p>
    <w:p w:rsidR="00951FF1" w:rsidRPr="00CE6CB4" w:rsidP="004A47E7" w14:paraId="442ABA2E" w14:textId="77777777">
      <w:pPr>
        <w:tabs>
          <w:tab w:val="left" w:pos="600"/>
          <w:tab w:val="left" w:pos="1440"/>
          <w:tab w:val="left" w:pos="2040"/>
          <w:tab w:val="left" w:pos="3000"/>
          <w:tab w:val="left" w:pos="4320"/>
          <w:tab w:val="left" w:pos="5760"/>
          <w:tab w:val="left" w:pos="6720"/>
        </w:tabs>
        <w:ind w:left="2040" w:hanging="1440"/>
        <w:jc w:val="both"/>
        <w:rPr>
          <w:color w:val="auto"/>
          <w:sz w:val="20"/>
          <w:shd w:val="clear" w:color="auto" w:fill="auto"/>
        </w:rPr>
      </w:pPr>
      <w:r w:rsidRPr="00CE6CB4">
        <w:rPr>
          <w:sz w:val="20"/>
        </w:rPr>
        <w:t>BD</w:t>
      </w:r>
      <w:r w:rsidRPr="00CE6CB4">
        <w:rPr>
          <w:sz w:val="20"/>
          <w:vertAlign w:val="subscript"/>
        </w:rPr>
        <w:t>RC-CLASS</w:t>
      </w:r>
      <w:r w:rsidRPr="00CE6CB4">
        <w:rPr>
          <w:sz w:val="20"/>
        </w:rPr>
        <w:t xml:space="preserve"> =</w:t>
      </w:r>
      <w:r w:rsidRPr="00CE6CB4">
        <w:rPr>
          <w:sz w:val="20"/>
        </w:rPr>
        <w:tab/>
        <w:t>Rate Class Billing Determinants used to set rates in the last comprehensive base-rate proceeding.</w:t>
      </w:r>
    </w:p>
    <w:p w:rsidR="00687C44" w:rsidP="004A47E7" w14:paraId="014B159F" w14:textId="77777777">
      <w:pPr>
        <w:widowControl/>
        <w:rPr>
          <w:b/>
          <w:bCs/>
          <w:color w:val="auto"/>
          <w:sz w:val="20"/>
          <w:szCs w:val="20"/>
          <w:shd w:val="clear" w:color="auto" w:fill="auto"/>
        </w:rPr>
      </w:pPr>
    </w:p>
    <w:p w:rsidR="004A47E7" w:rsidP="004A47E7" w14:paraId="442ABA2F" w14:textId="26401561">
      <w:pPr>
        <w:widowControl/>
        <w:rPr>
          <w:b/>
          <w:bCs/>
          <w:color w:val="auto"/>
          <w:sz w:val="20"/>
          <w:szCs w:val="20"/>
          <w:shd w:val="clear" w:color="auto" w:fill="auto"/>
        </w:rPr>
      </w:pPr>
      <w:r w:rsidRPr="00391B83">
        <w:rPr>
          <w:noProof/>
          <w:sz w:val="20"/>
        </w:rPr>
        <mc:AlternateContent>
          <mc:Choice Requires="wps">
            <w:drawing>
              <wp:anchor distT="45720" distB="45720" distL="114300" distR="114300" simplePos="0" relativeHeight="251662336" behindDoc="0" locked="0" layoutInCell="1" allowOverlap="1">
                <wp:simplePos x="0" y="0"/>
                <wp:positionH relativeFrom="margin">
                  <wp:align>right</wp:align>
                </wp:positionH>
                <wp:positionV relativeFrom="page">
                  <wp:posOffset>282272</wp:posOffset>
                </wp:positionV>
                <wp:extent cx="1256030" cy="1645920"/>
                <wp:effectExtent l="0" t="0" r="1270" b="0"/>
                <wp:wrapSquare wrapText="bothSides"/>
                <wp:docPr id="3"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256030" cy="1645920"/>
                        </a:xfrm>
                        <a:prstGeom prst="rect">
                          <a:avLst/>
                        </a:prstGeom>
                        <a:solidFill>
                          <a:srgbClr val="FFFFFF"/>
                        </a:solidFill>
                        <a:ln w="9525">
                          <a:noFill/>
                          <a:miter lim="800000"/>
                          <a:headEnd/>
                          <a:tailEnd/>
                        </a:ln>
                      </wps:spPr>
                      <wps:txbx>
                        <w:txbxContent>
                          <w:p w:rsidR="00391B83" w:rsidRPr="00391B83" w:rsidP="00391B83" w14:textId="77777777">
                            <w:pPr>
                              <w:rPr>
                                <w:rFonts w:ascii="Arial" w:hAnsi="Arial" w:cs="Arial"/>
                                <w:color w:val="auto"/>
                                <w:shd w:val="clear" w:color="auto" w:fill="auto"/>
                              </w:rPr>
                            </w:pPr>
                            <w:r w:rsidRPr="00391B83">
                              <w:rPr>
                                <w:rFonts w:ascii="Arial" w:hAnsi="Arial" w:cs="Arial"/>
                              </w:rPr>
                              <w:t>Exhibit MAT-5</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width:98.9pt;height:21.7pt;margin-top:22.25pt;margin-left:47.7pt;mso-height-percent:200;mso-height-relative:margin;mso-position-horizontal:right;mso-position-horizontal-relative:margin;mso-position-vertical-relative:page;mso-width-percent:0;mso-width-relative:margin;mso-wrap-distance-bottom:3.6pt;mso-wrap-distance-left:9pt;mso-wrap-distance-right:9pt;mso-wrap-distance-top:3.6pt;mso-wrap-style:square;position:absolute;visibility:visible;v-text-anchor:top;z-index:251663360" stroked="f">
                <v:textbox style="mso-fit-shape-to-text:t">
                  <w:txbxContent>
                    <w:p w:rsidR="00391B83" w:rsidRPr="00391B83" w:rsidP="00391B83" w14:paraId="16AABF33" w14:textId="77777777">
                      <w:pPr>
                        <w:rPr>
                          <w:rFonts w:ascii="Arial" w:hAnsi="Arial" w:cs="Arial"/>
                        </w:rPr>
                      </w:pPr>
                      <w:r w:rsidRPr="00391B83">
                        <w:rPr>
                          <w:rFonts w:ascii="Arial" w:hAnsi="Arial" w:cs="Arial"/>
                        </w:rPr>
                        <w:t>Exhibit MAT-5</w:t>
                      </w:r>
                    </w:p>
                  </w:txbxContent>
                </v:textbox>
                <w10:wrap type="square"/>
              </v:shape>
            </w:pict>
          </mc:Fallback>
        </mc:AlternateContent>
      </w:r>
      <w:r w:rsidR="0098017E">
        <w:rPr>
          <w:b/>
          <w:bCs/>
          <w:sz w:val="20"/>
          <w:szCs w:val="20"/>
        </w:rPr>
        <w:t>Monthly Surcharge</w:t>
      </w:r>
    </w:p>
    <w:p w:rsidR="004A47E7" w:rsidP="004A47E7" w14:paraId="442ABA30" w14:textId="37E65D0F">
      <w:pPr>
        <w:widowControl/>
        <w:tabs>
          <w:tab w:val="right" w:pos="7363"/>
        </w:tabs>
        <w:ind w:right="1296"/>
        <w:rPr>
          <w:color w:val="auto"/>
          <w:spacing w:val="-8"/>
          <w:sz w:val="20"/>
          <w:szCs w:val="20"/>
          <w:shd w:val="clear" w:color="auto" w:fill="auto"/>
        </w:rPr>
      </w:pPr>
      <w:bookmarkStart w:id="5" w:name="_DV_M7"/>
      <w:bookmarkEnd w:id="5"/>
    </w:p>
    <w:p w:rsidR="004A47E7" w:rsidP="004A47E7" w14:paraId="442ABA31" w14:textId="77777777">
      <w:pPr>
        <w:widowControl/>
        <w:tabs>
          <w:tab w:val="right" w:pos="7363"/>
        </w:tabs>
        <w:ind w:right="1296"/>
        <w:rPr>
          <w:b/>
          <w:bCs/>
          <w:color w:val="auto"/>
          <w:spacing w:val="-8"/>
          <w:sz w:val="20"/>
          <w:szCs w:val="20"/>
          <w:shd w:val="clear" w:color="auto" w:fill="auto"/>
        </w:rPr>
      </w:pPr>
      <w:r>
        <w:rPr>
          <w:spacing w:val="-8"/>
          <w:sz w:val="20"/>
          <w:szCs w:val="20"/>
        </w:rPr>
        <w:t>The WDCRF surcharge for each of the Company’s applicable wholesale rate schedules is as follows:</w:t>
      </w:r>
      <w:r>
        <w:rPr>
          <w:b/>
          <w:bCs/>
          <w:spacing w:val="-8"/>
          <w:sz w:val="20"/>
          <w:szCs w:val="20"/>
        </w:rPr>
        <w:t xml:space="preserve"> </w:t>
      </w:r>
    </w:p>
    <w:p w:rsidR="00506AAB" w:rsidP="004A47E7" w14:paraId="442ABA32" w14:textId="77777777">
      <w:pPr>
        <w:widowControl/>
        <w:ind w:right="72"/>
        <w:rPr>
          <w:color w:val="auto"/>
          <w:spacing w:val="-8"/>
          <w:sz w:val="20"/>
          <w:szCs w:val="20"/>
          <w:shd w:val="clear" w:color="auto" w:fill="auto"/>
        </w:rPr>
      </w:pPr>
      <w:bookmarkStart w:id="6" w:name="_DV_M8"/>
      <w:bookmarkEnd w:id="6"/>
    </w:p>
    <w:tbl>
      <w:tblPr>
        <w:tblpPr w:leftFromText="180" w:rightFromText="180" w:vertAnchor="text" w:horzAnchor="margin" w:tblpX="1368" w:tblpY="1"/>
        <w:tblOverlap w:val="never"/>
        <w:tblW w:w="0" w:type="auto"/>
        <w:tblLayout w:type="fixed"/>
        <w:tblLook w:val="04A0"/>
      </w:tblPr>
      <w:tblGrid>
        <w:gridCol w:w="3348"/>
        <w:gridCol w:w="360"/>
        <w:gridCol w:w="4140"/>
      </w:tblGrid>
      <w:tr w14:paraId="442ABA36" w14:textId="77777777" w:rsidTr="00F25577">
        <w:tblPrEx>
          <w:tblW w:w="0" w:type="auto"/>
          <w:tblLayout w:type="fixed"/>
          <w:tblLook w:val="04A0"/>
        </w:tblPrEx>
        <w:trPr>
          <w:trHeight w:val="323"/>
        </w:trPr>
        <w:tc>
          <w:tcPr>
            <w:tcW w:w="3348" w:type="dxa"/>
            <w:tcBorders>
              <w:top w:val="nil"/>
              <w:left w:val="nil"/>
              <w:bottom w:val="single" w:sz="8" w:space="0" w:color="000000"/>
              <w:right w:val="nil"/>
            </w:tcBorders>
            <w:hideMark/>
          </w:tcPr>
          <w:p w:rsidR="00506AAB" w:rsidP="00F25577" w14:paraId="442ABA33" w14:textId="77777777">
            <w:pPr>
              <w:widowControl/>
              <w:tabs>
                <w:tab w:val="right" w:pos="7363"/>
              </w:tabs>
              <w:rPr>
                <w:b/>
                <w:bCs/>
                <w:color w:val="auto"/>
                <w:spacing w:val="-8"/>
                <w:sz w:val="20"/>
                <w:szCs w:val="20"/>
                <w:shd w:val="clear" w:color="auto" w:fill="auto"/>
              </w:rPr>
            </w:pPr>
            <w:r>
              <w:rPr>
                <w:b/>
                <w:bCs/>
                <w:spacing w:val="-8"/>
                <w:sz w:val="20"/>
                <w:szCs w:val="20"/>
              </w:rPr>
              <w:t>Rate Schedule</w:t>
            </w:r>
          </w:p>
        </w:tc>
        <w:tc>
          <w:tcPr>
            <w:tcW w:w="360" w:type="dxa"/>
          </w:tcPr>
          <w:p w:rsidR="00506AAB" w:rsidP="00F25577" w14:paraId="442ABA34" w14:textId="77777777">
            <w:pPr>
              <w:widowControl/>
              <w:tabs>
                <w:tab w:val="right" w:pos="7363"/>
              </w:tabs>
              <w:ind w:right="1296"/>
              <w:rPr>
                <w:b/>
                <w:bCs/>
                <w:color w:val="auto"/>
                <w:spacing w:val="-8"/>
                <w:sz w:val="20"/>
                <w:szCs w:val="20"/>
                <w:shd w:val="clear" w:color="auto" w:fill="auto"/>
              </w:rPr>
            </w:pPr>
          </w:p>
        </w:tc>
        <w:tc>
          <w:tcPr>
            <w:tcW w:w="4140" w:type="dxa"/>
            <w:tcBorders>
              <w:top w:val="nil"/>
              <w:left w:val="nil"/>
              <w:bottom w:val="single" w:sz="8" w:space="0" w:color="000000"/>
              <w:right w:val="nil"/>
            </w:tcBorders>
            <w:hideMark/>
          </w:tcPr>
          <w:p w:rsidR="00506AAB" w:rsidP="00F25577" w14:paraId="442ABA35" w14:textId="645B8667">
            <w:pPr>
              <w:widowControl/>
              <w:tabs>
                <w:tab w:val="right" w:pos="7363"/>
              </w:tabs>
              <w:rPr>
                <w:b/>
                <w:bCs/>
                <w:color w:val="auto"/>
                <w:spacing w:val="-8"/>
                <w:sz w:val="20"/>
                <w:szCs w:val="20"/>
                <w:shd w:val="clear" w:color="auto" w:fill="auto"/>
              </w:rPr>
            </w:pPr>
            <w:r>
              <w:rPr>
                <w:b/>
                <w:bCs/>
                <w:spacing w:val="-8"/>
                <w:sz w:val="20"/>
                <w:szCs w:val="20"/>
              </w:rPr>
              <w:t>WDCRF Surcharge</w:t>
            </w:r>
          </w:p>
        </w:tc>
      </w:tr>
      <w:tr w14:paraId="442ABA3C" w14:textId="77777777" w:rsidTr="00F25577">
        <w:tblPrEx>
          <w:tblW w:w="0" w:type="auto"/>
          <w:tblLayout w:type="fixed"/>
          <w:tblLook w:val="04A0"/>
        </w:tblPrEx>
        <w:tc>
          <w:tcPr>
            <w:tcW w:w="3348" w:type="dxa"/>
            <w:tcBorders>
              <w:top w:val="single" w:sz="8" w:space="0" w:color="000000"/>
              <w:left w:val="nil"/>
              <w:bottom w:val="nil"/>
              <w:right w:val="nil"/>
            </w:tcBorders>
          </w:tcPr>
          <w:p w:rsidR="00506AAB" w:rsidP="00F25577" w14:paraId="442ABA37" w14:textId="77777777">
            <w:pPr>
              <w:widowControl/>
              <w:tabs>
                <w:tab w:val="right" w:pos="7363"/>
              </w:tabs>
              <w:ind w:right="72"/>
              <w:rPr>
                <w:color w:val="auto"/>
                <w:spacing w:val="-8"/>
                <w:sz w:val="20"/>
                <w:szCs w:val="20"/>
                <w:shd w:val="clear" w:color="auto" w:fill="auto"/>
              </w:rPr>
            </w:pPr>
          </w:p>
          <w:p w:rsidR="00506AAB" w:rsidP="00F25577" w14:paraId="442ABA38" w14:textId="77777777">
            <w:pPr>
              <w:widowControl/>
              <w:tabs>
                <w:tab w:val="right" w:pos="7363"/>
              </w:tabs>
              <w:ind w:right="72"/>
              <w:rPr>
                <w:color w:val="auto"/>
                <w:spacing w:val="-8"/>
                <w:sz w:val="20"/>
                <w:szCs w:val="20"/>
                <w:shd w:val="clear" w:color="auto" w:fill="auto"/>
              </w:rPr>
            </w:pPr>
            <w:r>
              <w:rPr>
                <w:spacing w:val="-8"/>
                <w:sz w:val="20"/>
                <w:szCs w:val="20"/>
              </w:rPr>
              <w:t>Wholesale Substation Service</w:t>
            </w:r>
          </w:p>
        </w:tc>
        <w:tc>
          <w:tcPr>
            <w:tcW w:w="360" w:type="dxa"/>
          </w:tcPr>
          <w:p w:rsidR="00506AAB" w:rsidP="00F25577" w14:paraId="442ABA39" w14:textId="77777777">
            <w:pPr>
              <w:widowControl/>
              <w:tabs>
                <w:tab w:val="right" w:pos="7363"/>
              </w:tabs>
              <w:ind w:right="1296"/>
              <w:rPr>
                <w:color w:val="auto"/>
                <w:spacing w:val="-6"/>
                <w:sz w:val="20"/>
                <w:szCs w:val="20"/>
                <w:shd w:val="clear" w:color="auto" w:fill="auto"/>
              </w:rPr>
            </w:pPr>
          </w:p>
        </w:tc>
        <w:tc>
          <w:tcPr>
            <w:tcW w:w="4140" w:type="dxa"/>
            <w:tcBorders>
              <w:top w:val="single" w:sz="8" w:space="0" w:color="000000"/>
              <w:left w:val="nil"/>
              <w:bottom w:val="nil"/>
              <w:right w:val="nil"/>
            </w:tcBorders>
          </w:tcPr>
          <w:p w:rsidR="00506AAB" w:rsidP="00F25577" w14:paraId="442ABA3A" w14:textId="77777777">
            <w:pPr>
              <w:widowControl/>
              <w:tabs>
                <w:tab w:val="right" w:pos="7363"/>
              </w:tabs>
              <w:rPr>
                <w:color w:val="auto"/>
                <w:spacing w:val="-6"/>
                <w:sz w:val="20"/>
                <w:szCs w:val="20"/>
                <w:shd w:val="clear" w:color="auto" w:fill="auto"/>
              </w:rPr>
            </w:pPr>
          </w:p>
          <w:p w:rsidR="00506AAB" w:rsidP="00AE42F2" w14:paraId="442ABA3B" w14:textId="377E3EEF">
            <w:pPr>
              <w:widowControl/>
              <w:tabs>
                <w:tab w:val="right" w:pos="7363"/>
              </w:tabs>
              <w:rPr>
                <w:color w:val="auto"/>
                <w:spacing w:val="-6"/>
                <w:sz w:val="20"/>
                <w:szCs w:val="20"/>
                <w:shd w:val="clear" w:color="auto" w:fill="auto"/>
              </w:rPr>
            </w:pPr>
            <w:r>
              <w:rPr>
                <w:spacing w:val="-6"/>
                <w:sz w:val="20"/>
                <w:szCs w:val="20"/>
              </w:rPr>
              <w:t>$0.</w:t>
            </w:r>
            <w:r w:rsidR="000439B9">
              <w:rPr>
                <w:spacing w:val="-6"/>
                <w:sz w:val="20"/>
                <w:szCs w:val="20"/>
              </w:rPr>
              <w:t>090334</w:t>
            </w:r>
            <w:r w:rsidR="00D03F9B">
              <w:rPr>
                <w:spacing w:val="-6"/>
                <w:sz w:val="20"/>
                <w:szCs w:val="20"/>
              </w:rPr>
              <w:t xml:space="preserve"> </w:t>
            </w:r>
            <w:r w:rsidR="0098017E">
              <w:rPr>
                <w:spacing w:val="-6"/>
                <w:sz w:val="20"/>
                <w:szCs w:val="20"/>
              </w:rPr>
              <w:t>per kW, billed at Annual Demand (kW)</w:t>
            </w:r>
          </w:p>
        </w:tc>
      </w:tr>
      <w:tr w14:paraId="442ABA42" w14:textId="77777777" w:rsidTr="00F25577">
        <w:tblPrEx>
          <w:tblW w:w="0" w:type="auto"/>
          <w:tblLayout w:type="fixed"/>
          <w:tblLook w:val="04A0"/>
        </w:tblPrEx>
        <w:tc>
          <w:tcPr>
            <w:tcW w:w="3348" w:type="dxa"/>
          </w:tcPr>
          <w:p w:rsidR="00506AAB" w:rsidP="00F25577" w14:paraId="442ABA3D" w14:textId="77777777">
            <w:pPr>
              <w:widowControl/>
              <w:tabs>
                <w:tab w:val="right" w:pos="7363"/>
              </w:tabs>
              <w:ind w:right="72"/>
              <w:rPr>
                <w:color w:val="auto"/>
                <w:spacing w:val="-8"/>
                <w:sz w:val="20"/>
                <w:szCs w:val="20"/>
                <w:shd w:val="clear" w:color="auto" w:fill="auto"/>
              </w:rPr>
            </w:pPr>
          </w:p>
          <w:p w:rsidR="00506AAB" w:rsidP="00F25577" w14:paraId="442ABA3E" w14:textId="77777777">
            <w:pPr>
              <w:widowControl/>
              <w:tabs>
                <w:tab w:val="right" w:pos="7363"/>
              </w:tabs>
              <w:ind w:right="72"/>
              <w:rPr>
                <w:color w:val="auto"/>
                <w:spacing w:val="-8"/>
                <w:sz w:val="20"/>
                <w:szCs w:val="20"/>
                <w:shd w:val="clear" w:color="auto" w:fill="auto"/>
              </w:rPr>
            </w:pPr>
            <w:r>
              <w:rPr>
                <w:spacing w:val="-8"/>
                <w:sz w:val="20"/>
                <w:szCs w:val="20"/>
              </w:rPr>
              <w:t>Wholesale Distribution Line Service</w:t>
            </w:r>
          </w:p>
        </w:tc>
        <w:tc>
          <w:tcPr>
            <w:tcW w:w="360" w:type="dxa"/>
          </w:tcPr>
          <w:p w:rsidR="00506AAB" w:rsidP="00F25577" w14:paraId="442ABA3F" w14:textId="77777777">
            <w:pPr>
              <w:widowControl/>
              <w:tabs>
                <w:tab w:val="right" w:pos="7363"/>
              </w:tabs>
              <w:ind w:right="1296"/>
              <w:rPr>
                <w:color w:val="auto"/>
                <w:spacing w:val="-4"/>
                <w:sz w:val="20"/>
                <w:szCs w:val="20"/>
                <w:shd w:val="clear" w:color="auto" w:fill="auto"/>
              </w:rPr>
            </w:pPr>
          </w:p>
        </w:tc>
        <w:tc>
          <w:tcPr>
            <w:tcW w:w="4140" w:type="dxa"/>
          </w:tcPr>
          <w:p w:rsidR="00506AAB" w:rsidP="00F25577" w14:paraId="442ABA40" w14:textId="77777777">
            <w:pPr>
              <w:widowControl/>
              <w:tabs>
                <w:tab w:val="right" w:pos="7363"/>
              </w:tabs>
              <w:ind w:right="1296"/>
              <w:rPr>
                <w:color w:val="auto"/>
                <w:spacing w:val="-4"/>
                <w:sz w:val="20"/>
                <w:szCs w:val="20"/>
                <w:shd w:val="clear" w:color="auto" w:fill="auto"/>
              </w:rPr>
            </w:pPr>
          </w:p>
          <w:p w:rsidR="00506AAB" w:rsidP="00461702" w14:paraId="442ABA41" w14:textId="538E3CFE">
            <w:pPr>
              <w:widowControl/>
              <w:tabs>
                <w:tab w:val="right" w:pos="7363"/>
              </w:tabs>
              <w:rPr>
                <w:color w:val="auto"/>
                <w:spacing w:val="-4"/>
                <w:sz w:val="20"/>
                <w:szCs w:val="20"/>
                <w:shd w:val="clear" w:color="auto" w:fill="auto"/>
              </w:rPr>
            </w:pPr>
            <w:r>
              <w:rPr>
                <w:spacing w:val="-4"/>
                <w:sz w:val="20"/>
                <w:szCs w:val="20"/>
              </w:rPr>
              <w:t>$0.</w:t>
            </w:r>
            <w:r w:rsidR="000439B9">
              <w:rPr>
                <w:spacing w:val="-4"/>
                <w:sz w:val="20"/>
                <w:szCs w:val="20"/>
              </w:rPr>
              <w:t>327017</w:t>
            </w:r>
            <w:r w:rsidR="0098017E">
              <w:rPr>
                <w:spacing w:val="-4"/>
                <w:sz w:val="20"/>
                <w:szCs w:val="20"/>
              </w:rPr>
              <w:t xml:space="preserve"> per Billing kW</w:t>
            </w:r>
          </w:p>
        </w:tc>
      </w:tr>
    </w:tbl>
    <w:p w:rsidR="00506AAB" w:rsidP="004A47E7" w14:paraId="442ABA43" w14:textId="77777777">
      <w:pPr>
        <w:widowControl/>
        <w:ind w:right="72"/>
        <w:rPr>
          <w:color w:val="auto"/>
          <w:spacing w:val="-8"/>
          <w:sz w:val="20"/>
          <w:szCs w:val="20"/>
          <w:shd w:val="clear" w:color="auto" w:fill="auto"/>
        </w:rPr>
      </w:pPr>
    </w:p>
    <w:p w:rsidR="00506AAB" w:rsidP="004A47E7" w14:paraId="442ABA44" w14:textId="77777777">
      <w:pPr>
        <w:widowControl/>
        <w:ind w:right="72"/>
        <w:rPr>
          <w:color w:val="auto"/>
          <w:spacing w:val="-8"/>
          <w:sz w:val="20"/>
          <w:szCs w:val="20"/>
          <w:shd w:val="clear" w:color="auto" w:fill="auto"/>
        </w:rPr>
      </w:pPr>
    </w:p>
    <w:p w:rsidR="00506AAB" w:rsidP="004A47E7" w14:paraId="442ABA45" w14:textId="77777777">
      <w:pPr>
        <w:widowControl/>
        <w:ind w:right="72"/>
        <w:rPr>
          <w:color w:val="auto"/>
          <w:spacing w:val="-8"/>
          <w:sz w:val="20"/>
          <w:szCs w:val="20"/>
          <w:shd w:val="clear" w:color="auto" w:fill="auto"/>
        </w:rPr>
      </w:pPr>
    </w:p>
    <w:p w:rsidR="00506AAB" w:rsidP="004A47E7" w14:paraId="442ABA46" w14:textId="77777777">
      <w:pPr>
        <w:widowControl/>
        <w:ind w:right="72"/>
        <w:rPr>
          <w:color w:val="auto"/>
          <w:spacing w:val="-8"/>
          <w:sz w:val="20"/>
          <w:szCs w:val="20"/>
          <w:shd w:val="clear" w:color="auto" w:fill="auto"/>
        </w:rPr>
      </w:pPr>
    </w:p>
    <w:p w:rsidR="00881240" w:rsidP="004A47E7" w14:paraId="442ABA47" w14:textId="77777777">
      <w:pPr>
        <w:widowControl/>
        <w:ind w:right="72"/>
        <w:rPr>
          <w:color w:val="auto"/>
          <w:spacing w:val="-8"/>
          <w:sz w:val="20"/>
          <w:szCs w:val="20"/>
          <w:shd w:val="clear" w:color="auto" w:fill="auto"/>
        </w:rPr>
      </w:pPr>
    </w:p>
    <w:p w:rsidR="00506AAB" w:rsidP="004A47E7" w14:paraId="442ABA48" w14:textId="77777777">
      <w:pPr>
        <w:widowControl/>
        <w:ind w:right="72"/>
        <w:rPr>
          <w:color w:val="auto"/>
          <w:spacing w:val="-8"/>
          <w:sz w:val="20"/>
          <w:szCs w:val="20"/>
          <w:shd w:val="clear" w:color="auto" w:fill="auto"/>
        </w:rPr>
      </w:pPr>
    </w:p>
    <w:p w:rsidR="004A47E7" w:rsidP="004A47E7" w14:paraId="442ABA49" w14:textId="77777777">
      <w:pPr>
        <w:widowControl/>
        <w:ind w:right="72"/>
        <w:rPr>
          <w:color w:val="auto"/>
          <w:spacing w:val="-6"/>
          <w:sz w:val="20"/>
          <w:szCs w:val="20"/>
          <w:shd w:val="clear" w:color="auto" w:fill="auto"/>
        </w:rPr>
      </w:pPr>
      <w:r>
        <w:rPr>
          <w:spacing w:val="-8"/>
          <w:sz w:val="20"/>
          <w:szCs w:val="20"/>
        </w:rPr>
        <w:t xml:space="preserve">Annual Demand (kW) is the highest 15-minute kW recorded at the Point of Interconnection in the 12-month period </w:t>
      </w:r>
      <w:r>
        <w:rPr>
          <w:spacing w:val="-6"/>
          <w:sz w:val="20"/>
          <w:szCs w:val="20"/>
        </w:rPr>
        <w:t>ended with the current month.</w:t>
      </w:r>
    </w:p>
    <w:p w:rsidR="004A47E7" w:rsidP="004A47E7" w14:paraId="442ABA4A" w14:textId="77777777">
      <w:pPr>
        <w:widowControl/>
        <w:ind w:right="288"/>
        <w:rPr>
          <w:color w:val="auto"/>
          <w:spacing w:val="-7"/>
          <w:sz w:val="20"/>
          <w:szCs w:val="20"/>
          <w:shd w:val="clear" w:color="auto" w:fill="auto"/>
        </w:rPr>
      </w:pPr>
      <w:bookmarkStart w:id="7" w:name="_DV_M9"/>
      <w:bookmarkEnd w:id="7"/>
    </w:p>
    <w:p w:rsidR="004A47E7" w:rsidP="00062065" w14:paraId="442ABA4B" w14:textId="3ED42164">
      <w:pPr>
        <w:widowControl/>
        <w:ind w:right="90"/>
        <w:rPr>
          <w:color w:val="auto"/>
          <w:spacing w:val="-6"/>
          <w:sz w:val="20"/>
          <w:szCs w:val="20"/>
          <w:shd w:val="clear" w:color="auto" w:fill="auto"/>
        </w:rPr>
      </w:pPr>
      <w:r>
        <w:rPr>
          <w:spacing w:val="-7"/>
          <w:sz w:val="20"/>
          <w:szCs w:val="20"/>
        </w:rPr>
        <w:t xml:space="preserve">The Billing kW applicable to the Distribution System Charge shall be the higher of the NCP kW for the current </w:t>
      </w:r>
      <w:r>
        <w:rPr>
          <w:spacing w:val="-8"/>
          <w:sz w:val="20"/>
          <w:szCs w:val="20"/>
        </w:rPr>
        <w:t xml:space="preserve">billing </w:t>
      </w:r>
      <w:r w:rsidR="00062065">
        <w:rPr>
          <w:spacing w:val="-8"/>
          <w:sz w:val="20"/>
          <w:szCs w:val="20"/>
        </w:rPr>
        <w:t>m</w:t>
      </w:r>
      <w:r>
        <w:rPr>
          <w:spacing w:val="-8"/>
          <w:sz w:val="20"/>
          <w:szCs w:val="20"/>
        </w:rPr>
        <w:t xml:space="preserve">onth or 80% of the highest monthly NCP kW established in the 11 months preceding the current billing </w:t>
      </w:r>
      <w:r>
        <w:rPr>
          <w:spacing w:val="-6"/>
          <w:sz w:val="20"/>
          <w:szCs w:val="20"/>
        </w:rPr>
        <w:t>month (80% ratchet).</w:t>
      </w:r>
    </w:p>
    <w:p w:rsidR="004A47E7" w:rsidP="004A47E7" w14:paraId="442ABA4C" w14:textId="77777777">
      <w:pPr>
        <w:widowControl/>
        <w:rPr>
          <w:b/>
          <w:bCs/>
          <w:color w:val="auto"/>
          <w:sz w:val="20"/>
          <w:szCs w:val="20"/>
          <w:shd w:val="clear" w:color="auto" w:fill="auto"/>
        </w:rPr>
      </w:pPr>
    </w:p>
    <w:p w:rsidR="00951FF1" w:rsidP="004A47E7" w14:paraId="442ABA4D" w14:textId="77777777">
      <w:pPr>
        <w:widowControl/>
        <w:rPr>
          <w:b/>
          <w:bCs/>
          <w:color w:val="auto"/>
          <w:sz w:val="20"/>
          <w:szCs w:val="20"/>
          <w:shd w:val="clear" w:color="auto" w:fill="auto"/>
        </w:rPr>
      </w:pPr>
      <w:r>
        <w:rPr>
          <w:b/>
          <w:bCs/>
          <w:sz w:val="20"/>
          <w:szCs w:val="20"/>
        </w:rPr>
        <w:t>Notice</w:t>
      </w:r>
    </w:p>
    <w:p w:rsidR="00951FF1" w:rsidP="004A47E7" w14:paraId="442ABA4E" w14:textId="7777777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color w:val="auto"/>
          <w:spacing w:val="-8"/>
          <w:sz w:val="20"/>
          <w:szCs w:val="20"/>
          <w:shd w:val="clear" w:color="auto" w:fill="auto"/>
        </w:rPr>
      </w:pPr>
    </w:p>
    <w:p w:rsidR="00951FF1" w:rsidP="004A47E7" w14:paraId="442ABA4F" w14:textId="77777777">
      <w:pPr>
        <w:widowControl/>
        <w:rPr>
          <w:color w:val="auto"/>
          <w:spacing w:val="-8"/>
          <w:sz w:val="20"/>
          <w:szCs w:val="20"/>
          <w:shd w:val="clear" w:color="auto" w:fill="auto"/>
        </w:rPr>
      </w:pPr>
      <w:bookmarkStart w:id="8" w:name="_DV_M11"/>
      <w:bookmarkEnd w:id="8"/>
      <w:r>
        <w:rPr>
          <w:spacing w:val="-8"/>
          <w:sz w:val="20"/>
          <w:szCs w:val="20"/>
        </w:rPr>
        <w:t>This Rate Schedule is subject to the Company’s Tariff for Transmission Service and Applicable Legal Authorities.</w:t>
      </w:r>
    </w:p>
    <w:p w:rsidR="00506AAB" w:rsidP="004A47E7" w14:paraId="442ABA50" w14:textId="77777777">
      <w:pPr>
        <w:widowControl/>
        <w:rPr>
          <w:color w:val="auto"/>
          <w:shd w:val="clear" w:color="auto" w:fill="auto"/>
        </w:rPr>
      </w:pPr>
    </w:p>
    <w:p w:rsidR="000C40D1" w:rsidRPr="00951FF1" w:rsidP="004A47E7" w14:paraId="442ABA51" w14:textId="77777777">
      <w:pPr>
        <w:widowControl/>
        <w:rPr>
          <w:color w:val="auto"/>
          <w:shd w:val="clear" w:color="auto" w:fill="auto"/>
        </w:rPr>
      </w:pPr>
    </w:p>
    <w:sectPr w:rsidSect="00655448">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51FF1" w:rsidRPr="00586414" w:rsidP="00655448" w14:paraId="442ABA56" w14:textId="77777777">
    <w:pPr>
      <w:tabs>
        <w:tab w:val="center" w:pos="4680"/>
        <w:tab w:val="right" w:pos="9360"/>
      </w:tabs>
      <w:ind w:hanging="1080"/>
      <w:jc w:val="center"/>
      <w:rPr>
        <w:b/>
        <w:bCs/>
        <w:color w:val="auto"/>
        <w:sz w:val="20"/>
        <w:szCs w:val="20"/>
        <w:shd w:val="clear" w:color="auto" w:fill="auto"/>
      </w:rPr>
    </w:pPr>
    <w:r w:rsidRPr="00655448">
      <w:rPr>
        <w:b/>
        <w:sz w:val="20"/>
      </w:rPr>
      <w:tab/>
    </w:r>
    <w:r w:rsidRPr="00586414">
      <w:rPr>
        <w:b/>
        <w:bCs/>
        <w:sz w:val="20"/>
        <w:szCs w:val="20"/>
      </w:rPr>
      <w:t xml:space="preserve"> TARIFF FOR TRANSMISSION SERVICE</w:t>
    </w:r>
  </w:p>
  <w:p w:rsidR="00951FF1" w:rsidRPr="00586414" w:rsidP="00586414" w14:paraId="442ABA57" w14:textId="77777777">
    <w:pPr>
      <w:tabs>
        <w:tab w:val="center" w:pos="4680"/>
        <w:tab w:val="right" w:pos="9360"/>
      </w:tabs>
      <w:rPr>
        <w:b/>
        <w:bCs/>
        <w:color w:val="auto"/>
        <w:sz w:val="20"/>
        <w:szCs w:val="20"/>
        <w:shd w:val="clear" w:color="auto" w:fill="auto"/>
      </w:rPr>
    </w:pPr>
    <w:r w:rsidRPr="00586414">
      <w:rPr>
        <w:b/>
        <w:bCs/>
        <w:sz w:val="20"/>
        <w:szCs w:val="20"/>
      </w:rPr>
      <w:tab/>
      <w:t>ONCOR ELECTRIC DELIVERY COMPANY LLC</w:t>
    </w:r>
  </w:p>
  <w:p w:rsidR="00951FF1" w:rsidRPr="00655448" w:rsidP="00586414" w14:paraId="442ABA58" w14:textId="77777777">
    <w:pPr>
      <w:tabs>
        <w:tab w:val="right" w:pos="9360"/>
      </w:tabs>
      <w:rPr>
        <w:b/>
        <w:color w:val="auto"/>
        <w:sz w:val="20"/>
        <w:shd w:val="clear" w:color="auto" w:fill="auto"/>
      </w:rPr>
    </w:pPr>
  </w:p>
  <w:p w:rsidR="00951FF1" w:rsidRPr="00586414" w:rsidP="00586414" w14:paraId="442ABA59" w14:textId="4A132A3F">
    <w:pPr>
      <w:tabs>
        <w:tab w:val="right" w:pos="9360"/>
      </w:tabs>
      <w:rPr>
        <w:b/>
        <w:bCs/>
        <w:color w:val="auto"/>
        <w:sz w:val="20"/>
        <w:szCs w:val="20"/>
        <w:shd w:val="clear" w:color="auto" w:fill="auto"/>
      </w:rPr>
    </w:pPr>
    <w:r>
      <w:rPr>
        <w:b/>
        <w:bCs/>
        <w:sz w:val="20"/>
        <w:szCs w:val="20"/>
      </w:rPr>
      <w:t>3.0 Rate Schedules</w:t>
    </w:r>
    <w:r>
      <w:rPr>
        <w:b/>
        <w:bCs/>
        <w:sz w:val="20"/>
        <w:szCs w:val="20"/>
      </w:rPr>
      <w:tab/>
      <w:t xml:space="preserve">Sheet: </w:t>
    </w:r>
    <w:r w:rsidR="002530F5">
      <w:rPr>
        <w:b/>
        <w:bCs/>
        <w:sz w:val="20"/>
        <w:szCs w:val="20"/>
      </w:rPr>
      <w:t>6</w:t>
    </w:r>
  </w:p>
  <w:p w:rsidR="00951FF1" w:rsidRPr="00655448" w:rsidP="00586414" w14:paraId="442ABA5A" w14:textId="7A3C2ECF">
    <w:pPr>
      <w:tabs>
        <w:tab w:val="right" w:pos="9360"/>
      </w:tabs>
      <w:rPr>
        <w:b/>
        <w:color w:val="auto"/>
        <w:sz w:val="20"/>
        <w:u w:val="single"/>
        <w:shd w:val="clear" w:color="auto" w:fill="auto"/>
      </w:rPr>
    </w:pPr>
    <w:r w:rsidRPr="00586414">
      <w:rPr>
        <w:b/>
        <w:bCs/>
        <w:sz w:val="20"/>
        <w:szCs w:val="20"/>
      </w:rPr>
      <w:t>Applicable: Wholesale Tr</w:t>
    </w:r>
    <w:r>
      <w:rPr>
        <w:b/>
        <w:bCs/>
        <w:sz w:val="20"/>
        <w:szCs w:val="20"/>
      </w:rPr>
      <w:t>ansmission Service</w:t>
    </w:r>
    <w:r>
      <w:rPr>
        <w:b/>
        <w:bCs/>
        <w:sz w:val="20"/>
        <w:szCs w:val="20"/>
      </w:rPr>
      <w:tab/>
      <w:t xml:space="preserve">Revision: </w:t>
    </w:r>
    <w:r w:rsidR="002F1DF6">
      <w:rPr>
        <w:b/>
        <w:bCs/>
        <w:sz w:val="20"/>
        <w:szCs w:val="20"/>
      </w:rPr>
      <w:t>___</w:t>
    </w:r>
  </w:p>
  <w:p w:rsidR="00951FF1" w:rsidRPr="00655448" w:rsidP="00586414" w14:paraId="442ABA5B" w14:textId="54855913">
    <w:pPr>
      <w:tabs>
        <w:tab w:val="right" w:pos="9360"/>
      </w:tabs>
      <w:rPr>
        <w:b/>
        <w:color w:val="auto"/>
        <w:sz w:val="20"/>
        <w:u w:val="single"/>
        <w:shd w:val="clear" w:color="auto" w:fill="auto"/>
      </w:rPr>
    </w:pPr>
    <w:r>
      <w:rPr>
        <w:b/>
        <w:bCs/>
        <w:sz w:val="20"/>
        <w:szCs w:val="20"/>
        <w:u w:val="single"/>
      </w:rPr>
      <w:t xml:space="preserve">Effective Date:  </w:t>
    </w:r>
    <w:r w:rsidR="002F1DF6">
      <w:rPr>
        <w:b/>
        <w:bCs/>
        <w:sz w:val="20"/>
        <w:szCs w:val="20"/>
        <w:u w:val="single"/>
      </w:rPr>
      <w:t>_______________</w:t>
    </w:r>
    <w:r w:rsidRPr="00586414">
      <w:rPr>
        <w:b/>
        <w:bCs/>
        <w:sz w:val="20"/>
        <w:szCs w:val="20"/>
        <w:u w:val="single"/>
      </w:rPr>
      <w:tab/>
      <w:t xml:space="preserve">Page </w:t>
    </w:r>
    <w:r w:rsidRPr="00630C09" w:rsidR="00630C09">
      <w:rPr>
        <w:b/>
        <w:bCs/>
        <w:sz w:val="20"/>
        <w:szCs w:val="20"/>
        <w:u w:val="single"/>
      </w:rPr>
      <w:fldChar w:fldCharType="begin"/>
    </w:r>
    <w:r w:rsidRPr="00630C09" w:rsidR="00630C09">
      <w:rPr>
        <w:b/>
        <w:bCs/>
        <w:sz w:val="20"/>
        <w:szCs w:val="20"/>
        <w:u w:val="single"/>
      </w:rPr>
      <w:instrText xml:space="preserve"> PAGE   \* MERGEFORMAT </w:instrText>
    </w:r>
    <w:r w:rsidRPr="00630C09" w:rsidR="00630C09">
      <w:rPr>
        <w:b/>
        <w:bCs/>
        <w:sz w:val="20"/>
        <w:szCs w:val="20"/>
        <w:u w:val="single"/>
      </w:rPr>
      <w:fldChar w:fldCharType="separate"/>
    </w:r>
    <w:r w:rsidR="00687C44">
      <w:rPr>
        <w:b/>
        <w:bCs/>
        <w:noProof/>
        <w:sz w:val="20"/>
        <w:szCs w:val="20"/>
        <w:u w:val="single"/>
      </w:rPr>
      <w:t>3</w:t>
    </w:r>
    <w:r w:rsidRPr="00630C09" w:rsidR="00630C09">
      <w:rPr>
        <w:b/>
        <w:bCs/>
        <w:noProof/>
        <w:sz w:val="20"/>
        <w:szCs w:val="20"/>
        <w:u w:val="single"/>
      </w:rPr>
      <w:fldChar w:fldCharType="end"/>
    </w:r>
    <w:r w:rsidRPr="00586414">
      <w:rPr>
        <w:b/>
        <w:bCs/>
        <w:sz w:val="20"/>
        <w:szCs w:val="20"/>
        <w:u w:val="single"/>
      </w:rPr>
      <w:t xml:space="preserve"> of </w:t>
    </w:r>
    <w:r w:rsidR="00630C09">
      <w:rPr>
        <w:b/>
        <w:bCs/>
        <w:sz w:val="20"/>
        <w:szCs w:val="20"/>
        <w:u w:val="single"/>
      </w:rPr>
      <w:t>3</w:t>
    </w:r>
  </w:p>
  <w:p w:rsidR="00951FF1" w:rsidRPr="00586414" w:rsidP="00655448" w14:paraId="442ABA5C" w14:textId="77777777">
    <w:pPr>
      <w:tabs>
        <w:tab w:val="right" w:pos="9360"/>
      </w:tabs>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0"/>
    <w:name w:val="AutoList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0"/>
      <w:numFmt w:val="decimal"/>
      <w:lvlJc w:val="left"/>
    </w:lvl>
  </w:abstractNum>
  <w:abstractNum w:abstractNumId="1">
    <w:nsid w:val="52C50F93"/>
    <w:multiLevelType w:val="hybridMultilevel"/>
    <w:tmpl w:val="708623F8"/>
    <w:lvl w:ilvl="0">
      <w:start w:val="4"/>
      <w:numFmt w:val="decimal"/>
      <w:lvlText w:val="%1."/>
      <w:lvlJc w:val="left"/>
      <w:pPr>
        <w:tabs>
          <w:tab w:val="num" w:pos="1080"/>
        </w:tabs>
        <w:ind w:left="1080" w:hanging="720"/>
      </w:pPr>
      <w:rPr>
        <w:rFonts w:hint="default"/>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57CB4DC3"/>
    <w:multiLevelType w:val="singleLevel"/>
    <w:tmpl w:val="04090013"/>
    <w:lvl w:ilvl="0">
      <w:start w:val="1"/>
      <w:numFmt w:val="upperRoman"/>
      <w:lvlText w:val="%1."/>
      <w:lvlJc w:val="left"/>
      <w:pPr>
        <w:tabs>
          <w:tab w:val="num" w:pos="720"/>
        </w:tabs>
        <w:ind w:left="720" w:hanging="720"/>
      </w:pPr>
      <w:rPr>
        <w:rFonts w:hint="default"/>
      </w:rPr>
    </w:lvl>
  </w:abstractNum>
  <w:abstractNum w:abstractNumId="3">
    <w:nsid w:val="742C0C08"/>
    <w:multiLevelType w:val="singleLevel"/>
    <w:tmpl w:val="6BA4D8B6"/>
    <w:lvl w:ilvl="0">
      <w:start w:val="1"/>
      <w:numFmt w:val="lowerLetter"/>
      <w:lvlText w:val="(%1)"/>
      <w:lvlJc w:val="left"/>
      <w:pPr>
        <w:tabs>
          <w:tab w:val="num" w:pos="1800"/>
        </w:tabs>
        <w:ind w:left="1800" w:hanging="360"/>
      </w:pPr>
      <w:rPr>
        <w:rFonts w:hint="default"/>
      </w:rPr>
    </w:lvl>
  </w:abstractNum>
  <w:num w:numId="1">
    <w:abstractNumId w:val="0"/>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NotTrackMoves/>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4"/>
    <w:rsid w:val="00000CDF"/>
    <w:rsid w:val="00005585"/>
    <w:rsid w:val="00007DC0"/>
    <w:rsid w:val="00011374"/>
    <w:rsid w:val="000114A1"/>
    <w:rsid w:val="00013580"/>
    <w:rsid w:val="00013E97"/>
    <w:rsid w:val="000204B5"/>
    <w:rsid w:val="00020881"/>
    <w:rsid w:val="00023894"/>
    <w:rsid w:val="0002496C"/>
    <w:rsid w:val="00025697"/>
    <w:rsid w:val="000266C3"/>
    <w:rsid w:val="000271E0"/>
    <w:rsid w:val="00031436"/>
    <w:rsid w:val="00033FD3"/>
    <w:rsid w:val="000357AC"/>
    <w:rsid w:val="00036B1E"/>
    <w:rsid w:val="000409C7"/>
    <w:rsid w:val="000439B9"/>
    <w:rsid w:val="00045149"/>
    <w:rsid w:val="00050264"/>
    <w:rsid w:val="00055312"/>
    <w:rsid w:val="00061D49"/>
    <w:rsid w:val="00062065"/>
    <w:rsid w:val="000641A2"/>
    <w:rsid w:val="00066506"/>
    <w:rsid w:val="00067394"/>
    <w:rsid w:val="00070A48"/>
    <w:rsid w:val="000714D8"/>
    <w:rsid w:val="000722AD"/>
    <w:rsid w:val="0007349E"/>
    <w:rsid w:val="00075E4B"/>
    <w:rsid w:val="0007637B"/>
    <w:rsid w:val="000774AD"/>
    <w:rsid w:val="00083A8E"/>
    <w:rsid w:val="00091A64"/>
    <w:rsid w:val="0009392B"/>
    <w:rsid w:val="000970BC"/>
    <w:rsid w:val="000A7B7D"/>
    <w:rsid w:val="000B1B99"/>
    <w:rsid w:val="000B5750"/>
    <w:rsid w:val="000B65D7"/>
    <w:rsid w:val="000B6BE7"/>
    <w:rsid w:val="000C01A3"/>
    <w:rsid w:val="000C1C0D"/>
    <w:rsid w:val="000C21D8"/>
    <w:rsid w:val="000C3FD5"/>
    <w:rsid w:val="000C40D1"/>
    <w:rsid w:val="000C5ABF"/>
    <w:rsid w:val="000D1816"/>
    <w:rsid w:val="000D5029"/>
    <w:rsid w:val="000E1240"/>
    <w:rsid w:val="000E3870"/>
    <w:rsid w:val="000E62A2"/>
    <w:rsid w:val="000F1D27"/>
    <w:rsid w:val="000F1DE3"/>
    <w:rsid w:val="000F6BC9"/>
    <w:rsid w:val="000F6C02"/>
    <w:rsid w:val="00105584"/>
    <w:rsid w:val="00111138"/>
    <w:rsid w:val="001117FE"/>
    <w:rsid w:val="00115BFF"/>
    <w:rsid w:val="00116A8F"/>
    <w:rsid w:val="0012101A"/>
    <w:rsid w:val="0012539D"/>
    <w:rsid w:val="001263E7"/>
    <w:rsid w:val="00133200"/>
    <w:rsid w:val="00135031"/>
    <w:rsid w:val="00135C08"/>
    <w:rsid w:val="00141E39"/>
    <w:rsid w:val="001435BA"/>
    <w:rsid w:val="001475B3"/>
    <w:rsid w:val="001475BE"/>
    <w:rsid w:val="00150708"/>
    <w:rsid w:val="00154A3C"/>
    <w:rsid w:val="00155940"/>
    <w:rsid w:val="00157756"/>
    <w:rsid w:val="00157F12"/>
    <w:rsid w:val="001611DA"/>
    <w:rsid w:val="00165107"/>
    <w:rsid w:val="001702CF"/>
    <w:rsid w:val="00174FF7"/>
    <w:rsid w:val="001770BF"/>
    <w:rsid w:val="00186150"/>
    <w:rsid w:val="001861E0"/>
    <w:rsid w:val="00186A18"/>
    <w:rsid w:val="00186AB2"/>
    <w:rsid w:val="0018740D"/>
    <w:rsid w:val="00193015"/>
    <w:rsid w:val="001955A9"/>
    <w:rsid w:val="00197DDF"/>
    <w:rsid w:val="001A0DE6"/>
    <w:rsid w:val="001A2741"/>
    <w:rsid w:val="001A41A5"/>
    <w:rsid w:val="001A7E77"/>
    <w:rsid w:val="001B0BDC"/>
    <w:rsid w:val="001B6DBC"/>
    <w:rsid w:val="001B6EEC"/>
    <w:rsid w:val="001B74A1"/>
    <w:rsid w:val="001C133F"/>
    <w:rsid w:val="001C2485"/>
    <w:rsid w:val="001D0000"/>
    <w:rsid w:val="001D0B5A"/>
    <w:rsid w:val="001D43B9"/>
    <w:rsid w:val="001D6B91"/>
    <w:rsid w:val="001D7F92"/>
    <w:rsid w:val="001E0500"/>
    <w:rsid w:val="001F1DEB"/>
    <w:rsid w:val="001F2AB9"/>
    <w:rsid w:val="001F3DAC"/>
    <w:rsid w:val="001F4670"/>
    <w:rsid w:val="001F74DD"/>
    <w:rsid w:val="001F786C"/>
    <w:rsid w:val="00200DC5"/>
    <w:rsid w:val="002057A6"/>
    <w:rsid w:val="002128B3"/>
    <w:rsid w:val="00221F46"/>
    <w:rsid w:val="00231344"/>
    <w:rsid w:val="00231C30"/>
    <w:rsid w:val="00234D75"/>
    <w:rsid w:val="002368F1"/>
    <w:rsid w:val="00236F8F"/>
    <w:rsid w:val="002402CD"/>
    <w:rsid w:val="00241BF5"/>
    <w:rsid w:val="00244C14"/>
    <w:rsid w:val="00246948"/>
    <w:rsid w:val="002530F5"/>
    <w:rsid w:val="00257698"/>
    <w:rsid w:val="00262CCE"/>
    <w:rsid w:val="002656EC"/>
    <w:rsid w:val="00276C0F"/>
    <w:rsid w:val="002805FF"/>
    <w:rsid w:val="00281588"/>
    <w:rsid w:val="002858B0"/>
    <w:rsid w:val="0028596F"/>
    <w:rsid w:val="00290280"/>
    <w:rsid w:val="002912BA"/>
    <w:rsid w:val="0029338A"/>
    <w:rsid w:val="002A11A7"/>
    <w:rsid w:val="002A22CA"/>
    <w:rsid w:val="002B01B5"/>
    <w:rsid w:val="002C6B0C"/>
    <w:rsid w:val="002D007B"/>
    <w:rsid w:val="002D1B19"/>
    <w:rsid w:val="002D24E7"/>
    <w:rsid w:val="002D4F15"/>
    <w:rsid w:val="002D5451"/>
    <w:rsid w:val="002D5839"/>
    <w:rsid w:val="002D7679"/>
    <w:rsid w:val="002E2AA8"/>
    <w:rsid w:val="002E44D6"/>
    <w:rsid w:val="002E7E46"/>
    <w:rsid w:val="002F03BD"/>
    <w:rsid w:val="002F1DBF"/>
    <w:rsid w:val="002F1DF6"/>
    <w:rsid w:val="002F5018"/>
    <w:rsid w:val="00301BB3"/>
    <w:rsid w:val="00303E87"/>
    <w:rsid w:val="0030659F"/>
    <w:rsid w:val="00310726"/>
    <w:rsid w:val="0032048E"/>
    <w:rsid w:val="00323AE8"/>
    <w:rsid w:val="00324605"/>
    <w:rsid w:val="00327040"/>
    <w:rsid w:val="00327E68"/>
    <w:rsid w:val="00332C89"/>
    <w:rsid w:val="00333207"/>
    <w:rsid w:val="003334D0"/>
    <w:rsid w:val="00350A5B"/>
    <w:rsid w:val="003530AE"/>
    <w:rsid w:val="003542F5"/>
    <w:rsid w:val="00356F0F"/>
    <w:rsid w:val="00357BDC"/>
    <w:rsid w:val="00361521"/>
    <w:rsid w:val="00362C0E"/>
    <w:rsid w:val="00364407"/>
    <w:rsid w:val="00364BEE"/>
    <w:rsid w:val="00366266"/>
    <w:rsid w:val="00366A17"/>
    <w:rsid w:val="00366D80"/>
    <w:rsid w:val="00367DF3"/>
    <w:rsid w:val="00367E14"/>
    <w:rsid w:val="0037278E"/>
    <w:rsid w:val="0038405D"/>
    <w:rsid w:val="00384FE3"/>
    <w:rsid w:val="003871C8"/>
    <w:rsid w:val="003901D4"/>
    <w:rsid w:val="00391B83"/>
    <w:rsid w:val="003961F3"/>
    <w:rsid w:val="003A01BA"/>
    <w:rsid w:val="003A0511"/>
    <w:rsid w:val="003A0B02"/>
    <w:rsid w:val="003A5545"/>
    <w:rsid w:val="003A7383"/>
    <w:rsid w:val="003B5623"/>
    <w:rsid w:val="003B792C"/>
    <w:rsid w:val="003D05E1"/>
    <w:rsid w:val="003D1B93"/>
    <w:rsid w:val="003D3C98"/>
    <w:rsid w:val="003D6D4F"/>
    <w:rsid w:val="003E0B23"/>
    <w:rsid w:val="003E4AED"/>
    <w:rsid w:val="003E5DFE"/>
    <w:rsid w:val="003E74AC"/>
    <w:rsid w:val="003E764D"/>
    <w:rsid w:val="003F3F64"/>
    <w:rsid w:val="003F7D61"/>
    <w:rsid w:val="00401D59"/>
    <w:rsid w:val="00402726"/>
    <w:rsid w:val="00403729"/>
    <w:rsid w:val="0041167C"/>
    <w:rsid w:val="00415577"/>
    <w:rsid w:val="0041577E"/>
    <w:rsid w:val="00422995"/>
    <w:rsid w:val="004250AC"/>
    <w:rsid w:val="00431014"/>
    <w:rsid w:val="004316BD"/>
    <w:rsid w:val="0043384E"/>
    <w:rsid w:val="00435A06"/>
    <w:rsid w:val="00437D63"/>
    <w:rsid w:val="00444F81"/>
    <w:rsid w:val="00454B0F"/>
    <w:rsid w:val="00461702"/>
    <w:rsid w:val="0046462E"/>
    <w:rsid w:val="00465694"/>
    <w:rsid w:val="00465766"/>
    <w:rsid w:val="00470587"/>
    <w:rsid w:val="0047084A"/>
    <w:rsid w:val="00471E1E"/>
    <w:rsid w:val="00476BF1"/>
    <w:rsid w:val="00477ED2"/>
    <w:rsid w:val="00480782"/>
    <w:rsid w:val="00481F50"/>
    <w:rsid w:val="004832CD"/>
    <w:rsid w:val="0048495C"/>
    <w:rsid w:val="004872BB"/>
    <w:rsid w:val="0049071C"/>
    <w:rsid w:val="00493C39"/>
    <w:rsid w:val="00494A3B"/>
    <w:rsid w:val="004A08B4"/>
    <w:rsid w:val="004A47E7"/>
    <w:rsid w:val="004A5A94"/>
    <w:rsid w:val="004B095C"/>
    <w:rsid w:val="004B2D50"/>
    <w:rsid w:val="004C075E"/>
    <w:rsid w:val="004C1F94"/>
    <w:rsid w:val="004C26F2"/>
    <w:rsid w:val="004C5AFA"/>
    <w:rsid w:val="004D0E47"/>
    <w:rsid w:val="004D28BC"/>
    <w:rsid w:val="004D4CFE"/>
    <w:rsid w:val="004D69CA"/>
    <w:rsid w:val="004E356C"/>
    <w:rsid w:val="004E5CD9"/>
    <w:rsid w:val="004F035F"/>
    <w:rsid w:val="004F14A9"/>
    <w:rsid w:val="004F1D71"/>
    <w:rsid w:val="004F51D0"/>
    <w:rsid w:val="0050063B"/>
    <w:rsid w:val="00501DE9"/>
    <w:rsid w:val="00503D6D"/>
    <w:rsid w:val="00506AAB"/>
    <w:rsid w:val="00506DB3"/>
    <w:rsid w:val="0051158F"/>
    <w:rsid w:val="00513A80"/>
    <w:rsid w:val="00513C2D"/>
    <w:rsid w:val="00514278"/>
    <w:rsid w:val="005142E9"/>
    <w:rsid w:val="00516668"/>
    <w:rsid w:val="005201B9"/>
    <w:rsid w:val="00521142"/>
    <w:rsid w:val="00521D15"/>
    <w:rsid w:val="00531F44"/>
    <w:rsid w:val="005326C2"/>
    <w:rsid w:val="00533463"/>
    <w:rsid w:val="00540212"/>
    <w:rsid w:val="00540A70"/>
    <w:rsid w:val="00541141"/>
    <w:rsid w:val="00543ED7"/>
    <w:rsid w:val="00543F6E"/>
    <w:rsid w:val="005502C9"/>
    <w:rsid w:val="00550C9A"/>
    <w:rsid w:val="005544EB"/>
    <w:rsid w:val="005556B8"/>
    <w:rsid w:val="00556948"/>
    <w:rsid w:val="00557DDE"/>
    <w:rsid w:val="00561505"/>
    <w:rsid w:val="00566320"/>
    <w:rsid w:val="00566821"/>
    <w:rsid w:val="0057211C"/>
    <w:rsid w:val="00572F17"/>
    <w:rsid w:val="005735F8"/>
    <w:rsid w:val="0057512C"/>
    <w:rsid w:val="0058302B"/>
    <w:rsid w:val="00586414"/>
    <w:rsid w:val="0058705C"/>
    <w:rsid w:val="00593397"/>
    <w:rsid w:val="005970D5"/>
    <w:rsid w:val="0059720A"/>
    <w:rsid w:val="005A1E59"/>
    <w:rsid w:val="005A2C71"/>
    <w:rsid w:val="005A4170"/>
    <w:rsid w:val="005B1DD0"/>
    <w:rsid w:val="005B3A13"/>
    <w:rsid w:val="005B3B14"/>
    <w:rsid w:val="005C0919"/>
    <w:rsid w:val="005C0CC4"/>
    <w:rsid w:val="005C109A"/>
    <w:rsid w:val="005C1BD4"/>
    <w:rsid w:val="005C2329"/>
    <w:rsid w:val="005C2D18"/>
    <w:rsid w:val="005C44F1"/>
    <w:rsid w:val="005C61DB"/>
    <w:rsid w:val="005D2C33"/>
    <w:rsid w:val="005D605D"/>
    <w:rsid w:val="005D62B2"/>
    <w:rsid w:val="005D6EFC"/>
    <w:rsid w:val="005D7649"/>
    <w:rsid w:val="005E228D"/>
    <w:rsid w:val="005E2401"/>
    <w:rsid w:val="005E2837"/>
    <w:rsid w:val="005E4DD9"/>
    <w:rsid w:val="005E5F21"/>
    <w:rsid w:val="005E6C61"/>
    <w:rsid w:val="005F013D"/>
    <w:rsid w:val="005F1214"/>
    <w:rsid w:val="005F21FC"/>
    <w:rsid w:val="005F240E"/>
    <w:rsid w:val="005F5142"/>
    <w:rsid w:val="005F6094"/>
    <w:rsid w:val="005F61D3"/>
    <w:rsid w:val="005F6608"/>
    <w:rsid w:val="006014B4"/>
    <w:rsid w:val="0060488E"/>
    <w:rsid w:val="006066C9"/>
    <w:rsid w:val="00607454"/>
    <w:rsid w:val="00607AAF"/>
    <w:rsid w:val="00607F7F"/>
    <w:rsid w:val="006106A3"/>
    <w:rsid w:val="00615385"/>
    <w:rsid w:val="00615E97"/>
    <w:rsid w:val="006205E2"/>
    <w:rsid w:val="00625128"/>
    <w:rsid w:val="00625AFD"/>
    <w:rsid w:val="00626E3F"/>
    <w:rsid w:val="00630C09"/>
    <w:rsid w:val="00635301"/>
    <w:rsid w:val="00635DA4"/>
    <w:rsid w:val="00636BD6"/>
    <w:rsid w:val="00645BE0"/>
    <w:rsid w:val="00646392"/>
    <w:rsid w:val="00647F36"/>
    <w:rsid w:val="006541C3"/>
    <w:rsid w:val="00655448"/>
    <w:rsid w:val="00657DAB"/>
    <w:rsid w:val="006620BD"/>
    <w:rsid w:val="006621B8"/>
    <w:rsid w:val="0066329F"/>
    <w:rsid w:val="00663C2B"/>
    <w:rsid w:val="0066400C"/>
    <w:rsid w:val="006663B7"/>
    <w:rsid w:val="006670B8"/>
    <w:rsid w:val="00667F0D"/>
    <w:rsid w:val="00670C4C"/>
    <w:rsid w:val="00672A33"/>
    <w:rsid w:val="00675617"/>
    <w:rsid w:val="00676BF8"/>
    <w:rsid w:val="00677868"/>
    <w:rsid w:val="00681713"/>
    <w:rsid w:val="00682EFA"/>
    <w:rsid w:val="00682FEB"/>
    <w:rsid w:val="00685CC9"/>
    <w:rsid w:val="00687C44"/>
    <w:rsid w:val="006922E9"/>
    <w:rsid w:val="006931CB"/>
    <w:rsid w:val="00693C13"/>
    <w:rsid w:val="0069484E"/>
    <w:rsid w:val="00696C96"/>
    <w:rsid w:val="006A3A5A"/>
    <w:rsid w:val="006A3F2A"/>
    <w:rsid w:val="006A4091"/>
    <w:rsid w:val="006A5BD3"/>
    <w:rsid w:val="006A7B20"/>
    <w:rsid w:val="006A7FB0"/>
    <w:rsid w:val="006B1305"/>
    <w:rsid w:val="006C1DAD"/>
    <w:rsid w:val="006C2BC8"/>
    <w:rsid w:val="006C36A3"/>
    <w:rsid w:val="006C3AD3"/>
    <w:rsid w:val="006C4C7B"/>
    <w:rsid w:val="006C607E"/>
    <w:rsid w:val="006D16FD"/>
    <w:rsid w:val="006D68F5"/>
    <w:rsid w:val="006E1EE7"/>
    <w:rsid w:val="006E2A5D"/>
    <w:rsid w:val="006E36BB"/>
    <w:rsid w:val="006E3D15"/>
    <w:rsid w:val="006F1A46"/>
    <w:rsid w:val="006F2044"/>
    <w:rsid w:val="006F464F"/>
    <w:rsid w:val="006F5B7E"/>
    <w:rsid w:val="0070620A"/>
    <w:rsid w:val="007118DC"/>
    <w:rsid w:val="00715A5B"/>
    <w:rsid w:val="00716C16"/>
    <w:rsid w:val="00717B56"/>
    <w:rsid w:val="00721638"/>
    <w:rsid w:val="00723C6C"/>
    <w:rsid w:val="0073102B"/>
    <w:rsid w:val="00731FB1"/>
    <w:rsid w:val="00732B32"/>
    <w:rsid w:val="007337CD"/>
    <w:rsid w:val="00740969"/>
    <w:rsid w:val="0074279E"/>
    <w:rsid w:val="00745AFD"/>
    <w:rsid w:val="00745E36"/>
    <w:rsid w:val="0075014C"/>
    <w:rsid w:val="007516AB"/>
    <w:rsid w:val="00755851"/>
    <w:rsid w:val="00760412"/>
    <w:rsid w:val="0076114D"/>
    <w:rsid w:val="0076326B"/>
    <w:rsid w:val="0076458E"/>
    <w:rsid w:val="00765341"/>
    <w:rsid w:val="007732E3"/>
    <w:rsid w:val="00773ECF"/>
    <w:rsid w:val="00774C03"/>
    <w:rsid w:val="007755EA"/>
    <w:rsid w:val="00777799"/>
    <w:rsid w:val="0078063A"/>
    <w:rsid w:val="0078258E"/>
    <w:rsid w:val="00782664"/>
    <w:rsid w:val="007826AE"/>
    <w:rsid w:val="00785986"/>
    <w:rsid w:val="00786662"/>
    <w:rsid w:val="00787BAD"/>
    <w:rsid w:val="007902CB"/>
    <w:rsid w:val="00790E55"/>
    <w:rsid w:val="007A31E6"/>
    <w:rsid w:val="007A369D"/>
    <w:rsid w:val="007A5A08"/>
    <w:rsid w:val="007A5F33"/>
    <w:rsid w:val="007A6189"/>
    <w:rsid w:val="007B297C"/>
    <w:rsid w:val="007B2EC4"/>
    <w:rsid w:val="007B546D"/>
    <w:rsid w:val="007B7515"/>
    <w:rsid w:val="007C3C1C"/>
    <w:rsid w:val="007C496D"/>
    <w:rsid w:val="007C5FF9"/>
    <w:rsid w:val="007C676B"/>
    <w:rsid w:val="007C742D"/>
    <w:rsid w:val="007D06C6"/>
    <w:rsid w:val="007D1044"/>
    <w:rsid w:val="007D5F2C"/>
    <w:rsid w:val="007D6464"/>
    <w:rsid w:val="007D660D"/>
    <w:rsid w:val="007D6CF5"/>
    <w:rsid w:val="007E1961"/>
    <w:rsid w:val="007E4389"/>
    <w:rsid w:val="007F2A82"/>
    <w:rsid w:val="007F2F74"/>
    <w:rsid w:val="007F480D"/>
    <w:rsid w:val="007F5AC2"/>
    <w:rsid w:val="007F65E8"/>
    <w:rsid w:val="007F7063"/>
    <w:rsid w:val="007F7660"/>
    <w:rsid w:val="008010A0"/>
    <w:rsid w:val="00804082"/>
    <w:rsid w:val="0080431D"/>
    <w:rsid w:val="00806A42"/>
    <w:rsid w:val="00806A8F"/>
    <w:rsid w:val="0081021B"/>
    <w:rsid w:val="00810859"/>
    <w:rsid w:val="00815388"/>
    <w:rsid w:val="00821D71"/>
    <w:rsid w:val="008378F3"/>
    <w:rsid w:val="0084390E"/>
    <w:rsid w:val="00843F79"/>
    <w:rsid w:val="00846DA9"/>
    <w:rsid w:val="008514D9"/>
    <w:rsid w:val="00852DBC"/>
    <w:rsid w:val="00854D4B"/>
    <w:rsid w:val="00857B11"/>
    <w:rsid w:val="00864D60"/>
    <w:rsid w:val="008733E1"/>
    <w:rsid w:val="00873C34"/>
    <w:rsid w:val="00876A0E"/>
    <w:rsid w:val="008806A2"/>
    <w:rsid w:val="00881240"/>
    <w:rsid w:val="008822B2"/>
    <w:rsid w:val="0088407F"/>
    <w:rsid w:val="008911E1"/>
    <w:rsid w:val="0089257B"/>
    <w:rsid w:val="00893091"/>
    <w:rsid w:val="008A4094"/>
    <w:rsid w:val="008A4E93"/>
    <w:rsid w:val="008A5939"/>
    <w:rsid w:val="008B22DC"/>
    <w:rsid w:val="008B3AC0"/>
    <w:rsid w:val="008B3C0C"/>
    <w:rsid w:val="008B43AD"/>
    <w:rsid w:val="008B5D3F"/>
    <w:rsid w:val="008B71C7"/>
    <w:rsid w:val="008C18C7"/>
    <w:rsid w:val="008C466E"/>
    <w:rsid w:val="008C58B9"/>
    <w:rsid w:val="008C5BBA"/>
    <w:rsid w:val="008C6489"/>
    <w:rsid w:val="008D007B"/>
    <w:rsid w:val="008D094D"/>
    <w:rsid w:val="008D4467"/>
    <w:rsid w:val="008D5536"/>
    <w:rsid w:val="008E503B"/>
    <w:rsid w:val="008E6673"/>
    <w:rsid w:val="008E67B9"/>
    <w:rsid w:val="008E7D9C"/>
    <w:rsid w:val="008F1035"/>
    <w:rsid w:val="008F11C6"/>
    <w:rsid w:val="008F203F"/>
    <w:rsid w:val="008F3215"/>
    <w:rsid w:val="008F5B73"/>
    <w:rsid w:val="008F7329"/>
    <w:rsid w:val="00907612"/>
    <w:rsid w:val="009136A5"/>
    <w:rsid w:val="00915CA3"/>
    <w:rsid w:val="00916F39"/>
    <w:rsid w:val="009218C1"/>
    <w:rsid w:val="00927F33"/>
    <w:rsid w:val="00940BC2"/>
    <w:rsid w:val="00942895"/>
    <w:rsid w:val="009435A3"/>
    <w:rsid w:val="009438B1"/>
    <w:rsid w:val="0094507A"/>
    <w:rsid w:val="00951FF1"/>
    <w:rsid w:val="00952D96"/>
    <w:rsid w:val="0095311D"/>
    <w:rsid w:val="00957C92"/>
    <w:rsid w:val="00960C44"/>
    <w:rsid w:val="00966017"/>
    <w:rsid w:val="0096751D"/>
    <w:rsid w:val="00973ACA"/>
    <w:rsid w:val="00976419"/>
    <w:rsid w:val="0098017E"/>
    <w:rsid w:val="00980508"/>
    <w:rsid w:val="0098065E"/>
    <w:rsid w:val="00982307"/>
    <w:rsid w:val="009827A6"/>
    <w:rsid w:val="009842CF"/>
    <w:rsid w:val="009851A0"/>
    <w:rsid w:val="00985460"/>
    <w:rsid w:val="0099036E"/>
    <w:rsid w:val="00990DB8"/>
    <w:rsid w:val="00991317"/>
    <w:rsid w:val="00992A32"/>
    <w:rsid w:val="00995057"/>
    <w:rsid w:val="009A1475"/>
    <w:rsid w:val="009A30B0"/>
    <w:rsid w:val="009A388E"/>
    <w:rsid w:val="009A6A7E"/>
    <w:rsid w:val="009B1876"/>
    <w:rsid w:val="009B1F6D"/>
    <w:rsid w:val="009B4C13"/>
    <w:rsid w:val="009B66E0"/>
    <w:rsid w:val="009C2DCF"/>
    <w:rsid w:val="009C324A"/>
    <w:rsid w:val="009C33D4"/>
    <w:rsid w:val="009C732D"/>
    <w:rsid w:val="009D18DD"/>
    <w:rsid w:val="009D1942"/>
    <w:rsid w:val="009D2AE9"/>
    <w:rsid w:val="009D4D73"/>
    <w:rsid w:val="009D7682"/>
    <w:rsid w:val="009D7964"/>
    <w:rsid w:val="009E0DD8"/>
    <w:rsid w:val="009E534B"/>
    <w:rsid w:val="009F45EA"/>
    <w:rsid w:val="009F4C04"/>
    <w:rsid w:val="009F5FB1"/>
    <w:rsid w:val="009F607E"/>
    <w:rsid w:val="009F6162"/>
    <w:rsid w:val="009F72EE"/>
    <w:rsid w:val="00A009E6"/>
    <w:rsid w:val="00A00A56"/>
    <w:rsid w:val="00A04150"/>
    <w:rsid w:val="00A067BE"/>
    <w:rsid w:val="00A100D3"/>
    <w:rsid w:val="00A12A94"/>
    <w:rsid w:val="00A12F89"/>
    <w:rsid w:val="00A15A74"/>
    <w:rsid w:val="00A22D08"/>
    <w:rsid w:val="00A31E92"/>
    <w:rsid w:val="00A331E8"/>
    <w:rsid w:val="00A35BF8"/>
    <w:rsid w:val="00A44190"/>
    <w:rsid w:val="00A45E93"/>
    <w:rsid w:val="00A50715"/>
    <w:rsid w:val="00A50EC4"/>
    <w:rsid w:val="00A55A08"/>
    <w:rsid w:val="00A563A7"/>
    <w:rsid w:val="00A63975"/>
    <w:rsid w:val="00A648BB"/>
    <w:rsid w:val="00A65033"/>
    <w:rsid w:val="00A66B95"/>
    <w:rsid w:val="00A70AFE"/>
    <w:rsid w:val="00A71770"/>
    <w:rsid w:val="00A71BAC"/>
    <w:rsid w:val="00A73F55"/>
    <w:rsid w:val="00A76256"/>
    <w:rsid w:val="00A7793B"/>
    <w:rsid w:val="00A80513"/>
    <w:rsid w:val="00A860B8"/>
    <w:rsid w:val="00A87D08"/>
    <w:rsid w:val="00A94B7D"/>
    <w:rsid w:val="00A94C11"/>
    <w:rsid w:val="00A963E1"/>
    <w:rsid w:val="00AA2ADF"/>
    <w:rsid w:val="00AA332C"/>
    <w:rsid w:val="00AB05EA"/>
    <w:rsid w:val="00AB51D0"/>
    <w:rsid w:val="00AB7AAD"/>
    <w:rsid w:val="00AC4F2C"/>
    <w:rsid w:val="00AC633E"/>
    <w:rsid w:val="00AD66CF"/>
    <w:rsid w:val="00AD76E8"/>
    <w:rsid w:val="00AE0BDD"/>
    <w:rsid w:val="00AE153C"/>
    <w:rsid w:val="00AE42F2"/>
    <w:rsid w:val="00AE5560"/>
    <w:rsid w:val="00AE76C6"/>
    <w:rsid w:val="00AF060D"/>
    <w:rsid w:val="00AF1186"/>
    <w:rsid w:val="00AF1653"/>
    <w:rsid w:val="00AF1C4F"/>
    <w:rsid w:val="00AF326E"/>
    <w:rsid w:val="00B01799"/>
    <w:rsid w:val="00B0324D"/>
    <w:rsid w:val="00B05A2E"/>
    <w:rsid w:val="00B05B78"/>
    <w:rsid w:val="00B16A93"/>
    <w:rsid w:val="00B235AF"/>
    <w:rsid w:val="00B24BA9"/>
    <w:rsid w:val="00B26129"/>
    <w:rsid w:val="00B36CD9"/>
    <w:rsid w:val="00B422EC"/>
    <w:rsid w:val="00B436E2"/>
    <w:rsid w:val="00B44F9C"/>
    <w:rsid w:val="00B54FBE"/>
    <w:rsid w:val="00B56AF9"/>
    <w:rsid w:val="00B64440"/>
    <w:rsid w:val="00B64A03"/>
    <w:rsid w:val="00B67ABE"/>
    <w:rsid w:val="00B708D7"/>
    <w:rsid w:val="00B71B99"/>
    <w:rsid w:val="00B7274F"/>
    <w:rsid w:val="00B731C8"/>
    <w:rsid w:val="00B740D4"/>
    <w:rsid w:val="00B7483C"/>
    <w:rsid w:val="00B75A3C"/>
    <w:rsid w:val="00B77B5D"/>
    <w:rsid w:val="00B77DA0"/>
    <w:rsid w:val="00B806D5"/>
    <w:rsid w:val="00B80BC7"/>
    <w:rsid w:val="00B90AB8"/>
    <w:rsid w:val="00B91A55"/>
    <w:rsid w:val="00B9262F"/>
    <w:rsid w:val="00B96F89"/>
    <w:rsid w:val="00B978B4"/>
    <w:rsid w:val="00BA183A"/>
    <w:rsid w:val="00BA5905"/>
    <w:rsid w:val="00BA7AA5"/>
    <w:rsid w:val="00BB0F4B"/>
    <w:rsid w:val="00BB7245"/>
    <w:rsid w:val="00BC023B"/>
    <w:rsid w:val="00BC3CDB"/>
    <w:rsid w:val="00BC3E2F"/>
    <w:rsid w:val="00BC79AC"/>
    <w:rsid w:val="00BC7BA6"/>
    <w:rsid w:val="00BD3DEA"/>
    <w:rsid w:val="00BD4457"/>
    <w:rsid w:val="00BD5DAC"/>
    <w:rsid w:val="00BD793D"/>
    <w:rsid w:val="00BE16DA"/>
    <w:rsid w:val="00BE1CAE"/>
    <w:rsid w:val="00BE3772"/>
    <w:rsid w:val="00BE53CD"/>
    <w:rsid w:val="00BE5B66"/>
    <w:rsid w:val="00BF0A3D"/>
    <w:rsid w:val="00BF0F5D"/>
    <w:rsid w:val="00BF116B"/>
    <w:rsid w:val="00BF4966"/>
    <w:rsid w:val="00BF5F34"/>
    <w:rsid w:val="00BF6136"/>
    <w:rsid w:val="00C0250B"/>
    <w:rsid w:val="00C04BCC"/>
    <w:rsid w:val="00C05D84"/>
    <w:rsid w:val="00C10043"/>
    <w:rsid w:val="00C15D2F"/>
    <w:rsid w:val="00C1674C"/>
    <w:rsid w:val="00C20DC9"/>
    <w:rsid w:val="00C2308B"/>
    <w:rsid w:val="00C34035"/>
    <w:rsid w:val="00C34155"/>
    <w:rsid w:val="00C3422B"/>
    <w:rsid w:val="00C348C6"/>
    <w:rsid w:val="00C43C8D"/>
    <w:rsid w:val="00C455BD"/>
    <w:rsid w:val="00C47992"/>
    <w:rsid w:val="00C50891"/>
    <w:rsid w:val="00C50F68"/>
    <w:rsid w:val="00C5478F"/>
    <w:rsid w:val="00C55B44"/>
    <w:rsid w:val="00C566A9"/>
    <w:rsid w:val="00C61109"/>
    <w:rsid w:val="00C63035"/>
    <w:rsid w:val="00C67A5A"/>
    <w:rsid w:val="00C719E5"/>
    <w:rsid w:val="00C74FC7"/>
    <w:rsid w:val="00C803FC"/>
    <w:rsid w:val="00C80B2B"/>
    <w:rsid w:val="00C820E6"/>
    <w:rsid w:val="00C857C0"/>
    <w:rsid w:val="00C859EE"/>
    <w:rsid w:val="00C90D0B"/>
    <w:rsid w:val="00C90F1D"/>
    <w:rsid w:val="00C96E4C"/>
    <w:rsid w:val="00CA043B"/>
    <w:rsid w:val="00CA05E0"/>
    <w:rsid w:val="00CA2884"/>
    <w:rsid w:val="00CA2AE6"/>
    <w:rsid w:val="00CB1D75"/>
    <w:rsid w:val="00CB511B"/>
    <w:rsid w:val="00CB6AA5"/>
    <w:rsid w:val="00CB7D4A"/>
    <w:rsid w:val="00CC4C6D"/>
    <w:rsid w:val="00CC7EF5"/>
    <w:rsid w:val="00CD0A93"/>
    <w:rsid w:val="00CE093C"/>
    <w:rsid w:val="00CE3D55"/>
    <w:rsid w:val="00CE6CB4"/>
    <w:rsid w:val="00CE7E08"/>
    <w:rsid w:val="00D03B10"/>
    <w:rsid w:val="00D03F9B"/>
    <w:rsid w:val="00D075BD"/>
    <w:rsid w:val="00D1041D"/>
    <w:rsid w:val="00D1056B"/>
    <w:rsid w:val="00D10604"/>
    <w:rsid w:val="00D11BD8"/>
    <w:rsid w:val="00D12E1D"/>
    <w:rsid w:val="00D1433E"/>
    <w:rsid w:val="00D21173"/>
    <w:rsid w:val="00D319A4"/>
    <w:rsid w:val="00D42CAF"/>
    <w:rsid w:val="00D45C60"/>
    <w:rsid w:val="00D50597"/>
    <w:rsid w:val="00D50AD4"/>
    <w:rsid w:val="00D51330"/>
    <w:rsid w:val="00D51D1F"/>
    <w:rsid w:val="00D527ED"/>
    <w:rsid w:val="00D54BDD"/>
    <w:rsid w:val="00D63FF0"/>
    <w:rsid w:val="00D64649"/>
    <w:rsid w:val="00D656FF"/>
    <w:rsid w:val="00D67E11"/>
    <w:rsid w:val="00D74A1B"/>
    <w:rsid w:val="00D75DAD"/>
    <w:rsid w:val="00D76177"/>
    <w:rsid w:val="00D77371"/>
    <w:rsid w:val="00D8075C"/>
    <w:rsid w:val="00D80D0F"/>
    <w:rsid w:val="00D82003"/>
    <w:rsid w:val="00D843BD"/>
    <w:rsid w:val="00D84622"/>
    <w:rsid w:val="00D84C79"/>
    <w:rsid w:val="00D85273"/>
    <w:rsid w:val="00D860E9"/>
    <w:rsid w:val="00D864A5"/>
    <w:rsid w:val="00D8724A"/>
    <w:rsid w:val="00D8744E"/>
    <w:rsid w:val="00D928CD"/>
    <w:rsid w:val="00D948B1"/>
    <w:rsid w:val="00D95214"/>
    <w:rsid w:val="00D955DD"/>
    <w:rsid w:val="00D962BC"/>
    <w:rsid w:val="00D96976"/>
    <w:rsid w:val="00D97F0C"/>
    <w:rsid w:val="00DA29A1"/>
    <w:rsid w:val="00DA4A66"/>
    <w:rsid w:val="00DB2640"/>
    <w:rsid w:val="00DB360A"/>
    <w:rsid w:val="00DC0D00"/>
    <w:rsid w:val="00DC17CD"/>
    <w:rsid w:val="00DC4341"/>
    <w:rsid w:val="00DD158F"/>
    <w:rsid w:val="00DD5299"/>
    <w:rsid w:val="00DE3AF3"/>
    <w:rsid w:val="00DE5BF4"/>
    <w:rsid w:val="00DE629F"/>
    <w:rsid w:val="00DE78A1"/>
    <w:rsid w:val="00DF116A"/>
    <w:rsid w:val="00DF238F"/>
    <w:rsid w:val="00DF5997"/>
    <w:rsid w:val="00DF5F53"/>
    <w:rsid w:val="00E01B1E"/>
    <w:rsid w:val="00E0528E"/>
    <w:rsid w:val="00E07B08"/>
    <w:rsid w:val="00E07F22"/>
    <w:rsid w:val="00E1329C"/>
    <w:rsid w:val="00E133AA"/>
    <w:rsid w:val="00E14A0F"/>
    <w:rsid w:val="00E16A85"/>
    <w:rsid w:val="00E21C5A"/>
    <w:rsid w:val="00E257CA"/>
    <w:rsid w:val="00E25AA8"/>
    <w:rsid w:val="00E3033B"/>
    <w:rsid w:val="00E309D3"/>
    <w:rsid w:val="00E33A59"/>
    <w:rsid w:val="00E33DA8"/>
    <w:rsid w:val="00E342E0"/>
    <w:rsid w:val="00E377E9"/>
    <w:rsid w:val="00E3782C"/>
    <w:rsid w:val="00E410C5"/>
    <w:rsid w:val="00E41C04"/>
    <w:rsid w:val="00E42319"/>
    <w:rsid w:val="00E44FAA"/>
    <w:rsid w:val="00E4511B"/>
    <w:rsid w:val="00E46D2D"/>
    <w:rsid w:val="00E476D7"/>
    <w:rsid w:val="00E50381"/>
    <w:rsid w:val="00E53A08"/>
    <w:rsid w:val="00E55588"/>
    <w:rsid w:val="00E57445"/>
    <w:rsid w:val="00E603CF"/>
    <w:rsid w:val="00E6157A"/>
    <w:rsid w:val="00E6195F"/>
    <w:rsid w:val="00E63206"/>
    <w:rsid w:val="00E73B03"/>
    <w:rsid w:val="00E7714D"/>
    <w:rsid w:val="00E802C2"/>
    <w:rsid w:val="00E81176"/>
    <w:rsid w:val="00E81F8D"/>
    <w:rsid w:val="00E87A75"/>
    <w:rsid w:val="00E90426"/>
    <w:rsid w:val="00E9094B"/>
    <w:rsid w:val="00E91C6D"/>
    <w:rsid w:val="00E925F3"/>
    <w:rsid w:val="00E932EC"/>
    <w:rsid w:val="00E93BFC"/>
    <w:rsid w:val="00E96AEA"/>
    <w:rsid w:val="00E970D1"/>
    <w:rsid w:val="00EA28FD"/>
    <w:rsid w:val="00EA5045"/>
    <w:rsid w:val="00EB0B9A"/>
    <w:rsid w:val="00EB25F9"/>
    <w:rsid w:val="00EB5595"/>
    <w:rsid w:val="00EB6268"/>
    <w:rsid w:val="00EB76B4"/>
    <w:rsid w:val="00EC5D4A"/>
    <w:rsid w:val="00ED0146"/>
    <w:rsid w:val="00ED4739"/>
    <w:rsid w:val="00ED4ABC"/>
    <w:rsid w:val="00ED5F46"/>
    <w:rsid w:val="00ED61B0"/>
    <w:rsid w:val="00EE0F95"/>
    <w:rsid w:val="00EE230F"/>
    <w:rsid w:val="00EE41F6"/>
    <w:rsid w:val="00EE4398"/>
    <w:rsid w:val="00EE5C64"/>
    <w:rsid w:val="00EE5FED"/>
    <w:rsid w:val="00EF032D"/>
    <w:rsid w:val="00EF338F"/>
    <w:rsid w:val="00F010D6"/>
    <w:rsid w:val="00F04B1B"/>
    <w:rsid w:val="00F053E1"/>
    <w:rsid w:val="00F110AA"/>
    <w:rsid w:val="00F112F6"/>
    <w:rsid w:val="00F11A5A"/>
    <w:rsid w:val="00F133FB"/>
    <w:rsid w:val="00F163E3"/>
    <w:rsid w:val="00F23E50"/>
    <w:rsid w:val="00F2454B"/>
    <w:rsid w:val="00F24CF4"/>
    <w:rsid w:val="00F25577"/>
    <w:rsid w:val="00F259D1"/>
    <w:rsid w:val="00F2608C"/>
    <w:rsid w:val="00F268AE"/>
    <w:rsid w:val="00F31E1D"/>
    <w:rsid w:val="00F3287D"/>
    <w:rsid w:val="00F372C6"/>
    <w:rsid w:val="00F376E1"/>
    <w:rsid w:val="00F37C46"/>
    <w:rsid w:val="00F37CC8"/>
    <w:rsid w:val="00F447DC"/>
    <w:rsid w:val="00F4671D"/>
    <w:rsid w:val="00F47F4A"/>
    <w:rsid w:val="00F51CB5"/>
    <w:rsid w:val="00F51EAE"/>
    <w:rsid w:val="00F52A41"/>
    <w:rsid w:val="00F5557D"/>
    <w:rsid w:val="00F5564D"/>
    <w:rsid w:val="00F62259"/>
    <w:rsid w:val="00F73713"/>
    <w:rsid w:val="00F75E81"/>
    <w:rsid w:val="00F7719A"/>
    <w:rsid w:val="00F77AAB"/>
    <w:rsid w:val="00F80E9C"/>
    <w:rsid w:val="00F81322"/>
    <w:rsid w:val="00F82FBE"/>
    <w:rsid w:val="00F840A5"/>
    <w:rsid w:val="00F8594D"/>
    <w:rsid w:val="00F86F4C"/>
    <w:rsid w:val="00F92DE2"/>
    <w:rsid w:val="00F954CB"/>
    <w:rsid w:val="00FA2280"/>
    <w:rsid w:val="00FA64C3"/>
    <w:rsid w:val="00FB159C"/>
    <w:rsid w:val="00FB7214"/>
    <w:rsid w:val="00FC2C44"/>
    <w:rsid w:val="00FC2C84"/>
    <w:rsid w:val="00FC2F6D"/>
    <w:rsid w:val="00FC44EC"/>
    <w:rsid w:val="00FC4C79"/>
    <w:rsid w:val="00FC5228"/>
    <w:rsid w:val="00FD0BD7"/>
    <w:rsid w:val="00FD3082"/>
    <w:rsid w:val="00FD4698"/>
    <w:rsid w:val="00FD5900"/>
    <w:rsid w:val="00FD67B6"/>
    <w:rsid w:val="00FE04BB"/>
    <w:rsid w:val="00FE1790"/>
    <w:rsid w:val="00FF443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0B5899D6-D639-4B88-8D28-D85CA707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414"/>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qFormat/>
    <w:rsid w:val="00437D63"/>
    <w:pPr>
      <w:keepNext/>
      <w:widowControl/>
      <w:autoSpaceDE/>
      <w:autoSpaceDN/>
      <w:adjustRightInd/>
      <w:jc w:val="center"/>
      <w:outlineLvl w:val="0"/>
    </w:pPr>
    <w:rPr>
      <w:b/>
      <w:sz w:val="20"/>
      <w:szCs w:val="20"/>
      <w:u w:val="single"/>
    </w:rPr>
  </w:style>
  <w:style w:type="paragraph" w:styleId="Heading3">
    <w:name w:val="heading 3"/>
    <w:basedOn w:val="Normal"/>
    <w:next w:val="Normal"/>
    <w:link w:val="Heading3Char"/>
    <w:qFormat/>
    <w:rsid w:val="00437D63"/>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480" w:lineRule="auto"/>
      <w:ind w:firstLine="720"/>
      <w:jc w:val="center"/>
      <w:outlineLvl w:val="2"/>
    </w:pPr>
    <w:rPr>
      <w:b/>
      <w:bCs/>
      <w:snapToGrid w:val="0"/>
      <w:szCs w:val="20"/>
    </w:rPr>
  </w:style>
  <w:style w:type="paragraph" w:styleId="Heading4">
    <w:name w:val="heading 4"/>
    <w:basedOn w:val="Normal"/>
    <w:next w:val="Normal"/>
    <w:link w:val="Heading4Char"/>
    <w:qFormat/>
    <w:rsid w:val="00437D63"/>
    <w:pPr>
      <w:keepNext/>
      <w:autoSpaceDE/>
      <w:autoSpaceDN/>
      <w:adjustRightInd/>
      <w:outlineLvl w:val="3"/>
    </w:pPr>
    <w:rPr>
      <w:rFonts w:ascii="Arial" w:hAnsi="Arial"/>
      <w:b/>
      <w:snapToGrid w:val="0"/>
      <w:sz w:val="20"/>
      <w:szCs w:val="20"/>
      <w:u w:val="single"/>
    </w:rPr>
  </w:style>
  <w:style w:type="paragraph" w:styleId="Heading5">
    <w:name w:val="heading 5"/>
    <w:basedOn w:val="Normal"/>
    <w:next w:val="Normal"/>
    <w:link w:val="Heading5Char"/>
    <w:qFormat/>
    <w:rsid w:val="00437D63"/>
    <w:pPr>
      <w:keepNext/>
      <w:autoSpaceDE/>
      <w:autoSpaceDN/>
      <w:adjustRightInd/>
      <w:jc w:val="center"/>
      <w:outlineLvl w:val="4"/>
    </w:pPr>
    <w:rPr>
      <w:rFonts w:ascii="Arial" w:hAnsi="Arial"/>
      <w:b/>
      <w:snapToGrid w:val="0"/>
      <w:sz w:val="1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7D63"/>
    <w:pPr>
      <w:tabs>
        <w:tab w:val="center" w:pos="4680"/>
        <w:tab w:val="right" w:pos="9360"/>
      </w:tabs>
    </w:pPr>
  </w:style>
  <w:style w:type="character" w:customStyle="1" w:styleId="HeaderChar">
    <w:name w:val="Header Char"/>
    <w:basedOn w:val="DefaultParagraphFont"/>
    <w:link w:val="Header"/>
    <w:uiPriority w:val="99"/>
    <w:rsid w:val="00586414"/>
    <w:rPr>
      <w:rFonts w:ascii="Times New Roman" w:eastAsia="Times New Roman" w:hAnsi="Times New Roman"/>
      <w:sz w:val="24"/>
      <w:szCs w:val="24"/>
    </w:rPr>
  </w:style>
  <w:style w:type="paragraph" w:styleId="Footer">
    <w:name w:val="footer"/>
    <w:basedOn w:val="Normal"/>
    <w:link w:val="FooterChar"/>
    <w:unhideWhenUsed/>
    <w:rsid w:val="00437D63"/>
    <w:pPr>
      <w:tabs>
        <w:tab w:val="center" w:pos="4680"/>
        <w:tab w:val="right" w:pos="9360"/>
      </w:tabs>
    </w:pPr>
  </w:style>
  <w:style w:type="character" w:customStyle="1" w:styleId="FooterChar">
    <w:name w:val="Footer Char"/>
    <w:basedOn w:val="DefaultParagraphFont"/>
    <w:link w:val="Footer"/>
    <w:rsid w:val="00586414"/>
    <w:rPr>
      <w:rFonts w:ascii="Times New Roman" w:eastAsia="Times New Roman" w:hAnsi="Times New Roman"/>
      <w:sz w:val="24"/>
      <w:szCs w:val="24"/>
    </w:rPr>
  </w:style>
  <w:style w:type="character" w:styleId="PageNumber">
    <w:name w:val="page number"/>
    <w:rsid w:val="00586414"/>
  </w:style>
  <w:style w:type="character" w:customStyle="1" w:styleId="Heading1Char">
    <w:name w:val="Heading 1 Char"/>
    <w:basedOn w:val="DefaultParagraphFont"/>
    <w:link w:val="Heading1"/>
    <w:rsid w:val="00437D63"/>
    <w:rPr>
      <w:rFonts w:ascii="Times New Roman" w:eastAsia="Times New Roman" w:hAnsi="Times New Roman"/>
      <w:b/>
      <w:u w:val="single"/>
    </w:rPr>
  </w:style>
  <w:style w:type="character" w:customStyle="1" w:styleId="Heading3Char">
    <w:name w:val="Heading 3 Char"/>
    <w:basedOn w:val="DefaultParagraphFont"/>
    <w:link w:val="Heading3"/>
    <w:rsid w:val="00437D63"/>
    <w:rPr>
      <w:rFonts w:ascii="Times New Roman" w:eastAsia="Times New Roman" w:hAnsi="Times New Roman"/>
      <w:b/>
      <w:bCs/>
      <w:snapToGrid w:val="0"/>
      <w:sz w:val="24"/>
    </w:rPr>
  </w:style>
  <w:style w:type="character" w:customStyle="1" w:styleId="Heading4Char">
    <w:name w:val="Heading 4 Char"/>
    <w:basedOn w:val="DefaultParagraphFont"/>
    <w:link w:val="Heading4"/>
    <w:rsid w:val="00437D63"/>
    <w:rPr>
      <w:rFonts w:ascii="Arial" w:eastAsia="Times New Roman" w:hAnsi="Arial"/>
      <w:b/>
      <w:snapToGrid w:val="0"/>
      <w:u w:val="single"/>
    </w:rPr>
  </w:style>
  <w:style w:type="character" w:customStyle="1" w:styleId="Heading5Char">
    <w:name w:val="Heading 5 Char"/>
    <w:basedOn w:val="DefaultParagraphFont"/>
    <w:link w:val="Heading5"/>
    <w:rsid w:val="00437D63"/>
    <w:rPr>
      <w:rFonts w:ascii="Arial" w:eastAsia="Times New Roman" w:hAnsi="Arial"/>
      <w:b/>
      <w:snapToGrid w:val="0"/>
      <w:sz w:val="18"/>
      <w:u w:val="single"/>
    </w:rPr>
  </w:style>
  <w:style w:type="character" w:styleId="FootnoteReference">
    <w:name w:val="footnote reference"/>
    <w:rsid w:val="00437D63"/>
  </w:style>
  <w:style w:type="paragraph" w:styleId="BodyText">
    <w:name w:val="Body Text"/>
    <w:basedOn w:val="Normal"/>
    <w:link w:val="BodyTextChar"/>
    <w:rsid w:val="00437D63"/>
    <w:rPr>
      <w:sz w:val="20"/>
      <w:szCs w:val="20"/>
    </w:rPr>
  </w:style>
  <w:style w:type="character" w:customStyle="1" w:styleId="BodyTextChar">
    <w:name w:val="Body Text Char"/>
    <w:basedOn w:val="DefaultParagraphFont"/>
    <w:link w:val="BodyText"/>
    <w:rsid w:val="00437D63"/>
    <w:rPr>
      <w:rFonts w:ascii="Times New Roman" w:eastAsia="Times New Roman" w:hAnsi="Times New Roman"/>
    </w:rPr>
  </w:style>
  <w:style w:type="paragraph" w:customStyle="1" w:styleId="Level1">
    <w:name w:val="Level 1"/>
    <w:basedOn w:val="Normal"/>
    <w:rsid w:val="00437D63"/>
    <w:pPr>
      <w:ind w:left="720" w:hanging="720"/>
      <w:outlineLvl w:val="0"/>
    </w:pPr>
  </w:style>
  <w:style w:type="paragraph" w:styleId="BodyText3">
    <w:name w:val="Body Text 3"/>
    <w:basedOn w:val="Normal"/>
    <w:link w:val="BodyText3Char"/>
    <w:rsid w:val="00437D63"/>
    <w:pPr>
      <w:spacing w:after="120"/>
    </w:pPr>
    <w:rPr>
      <w:sz w:val="16"/>
      <w:szCs w:val="16"/>
    </w:rPr>
  </w:style>
  <w:style w:type="character" w:customStyle="1" w:styleId="BodyText3Char">
    <w:name w:val="Body Text 3 Char"/>
    <w:basedOn w:val="DefaultParagraphFont"/>
    <w:link w:val="BodyText3"/>
    <w:rsid w:val="00437D63"/>
    <w:rPr>
      <w:rFonts w:ascii="Times New Roman" w:eastAsia="Times New Roman" w:hAnsi="Times New Roman"/>
      <w:sz w:val="16"/>
      <w:szCs w:val="16"/>
    </w:rPr>
  </w:style>
  <w:style w:type="paragraph" w:styleId="BodyTextIndent">
    <w:name w:val="Body Text Indent"/>
    <w:basedOn w:val="Normal"/>
    <w:link w:val="BodyTextIndentChar"/>
    <w:rsid w:val="00437D63"/>
    <w:pPr>
      <w:spacing w:after="120"/>
      <w:ind w:left="360"/>
    </w:pPr>
  </w:style>
  <w:style w:type="character" w:customStyle="1" w:styleId="BodyTextIndentChar">
    <w:name w:val="Body Text Indent Char"/>
    <w:basedOn w:val="DefaultParagraphFont"/>
    <w:link w:val="BodyTextIndent"/>
    <w:rsid w:val="00437D63"/>
    <w:rPr>
      <w:rFonts w:ascii="Times New Roman" w:eastAsia="Times New Roman" w:hAnsi="Times New Roman"/>
      <w:sz w:val="24"/>
      <w:szCs w:val="24"/>
    </w:rPr>
  </w:style>
  <w:style w:type="paragraph" w:styleId="Title">
    <w:name w:val="Title"/>
    <w:basedOn w:val="Normal"/>
    <w:link w:val="TitleChar"/>
    <w:qFormat/>
    <w:rsid w:val="00437D63"/>
    <w:pPr>
      <w:widowControl/>
      <w:tabs>
        <w:tab w:val="left" w:pos="810"/>
      </w:tabs>
      <w:autoSpaceDE/>
      <w:autoSpaceDN/>
      <w:adjustRightInd/>
      <w:jc w:val="center"/>
    </w:pPr>
    <w:rPr>
      <w:rFonts w:ascii="Arial" w:hAnsi="Arial"/>
      <w:b/>
      <w:sz w:val="32"/>
      <w:szCs w:val="20"/>
    </w:rPr>
  </w:style>
  <w:style w:type="character" w:customStyle="1" w:styleId="TitleChar">
    <w:name w:val="Title Char"/>
    <w:basedOn w:val="DefaultParagraphFont"/>
    <w:link w:val="Title"/>
    <w:rsid w:val="00437D63"/>
    <w:rPr>
      <w:rFonts w:ascii="Arial" w:eastAsia="Times New Roman" w:hAnsi="Arial"/>
      <w:b/>
      <w:sz w:val="32"/>
    </w:rPr>
  </w:style>
  <w:style w:type="paragraph" w:styleId="BalloonText">
    <w:name w:val="Balloon Text"/>
    <w:basedOn w:val="Normal"/>
    <w:link w:val="BalloonTextChar"/>
    <w:semiHidden/>
    <w:rsid w:val="00437D63"/>
    <w:rPr>
      <w:rFonts w:ascii="Tahoma" w:hAnsi="Tahoma" w:cs="Tahoma"/>
      <w:sz w:val="16"/>
      <w:szCs w:val="16"/>
    </w:rPr>
  </w:style>
  <w:style w:type="character" w:customStyle="1" w:styleId="BalloonTextChar">
    <w:name w:val="Balloon Text Char"/>
    <w:basedOn w:val="DefaultParagraphFont"/>
    <w:link w:val="BalloonText"/>
    <w:semiHidden/>
    <w:rsid w:val="00437D63"/>
    <w:rPr>
      <w:rFonts w:ascii="Tahoma" w:eastAsia="Times New Roman" w:hAnsi="Tahoma" w:cs="Tahoma"/>
      <w:sz w:val="16"/>
      <w:szCs w:val="16"/>
    </w:rPr>
  </w:style>
  <w:style w:type="table" w:styleId="TableGrid">
    <w:name w:val="Table Grid"/>
    <w:basedOn w:val="TableNormal"/>
    <w:rsid w:val="00437D63"/>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437D63"/>
    <w:rPr>
      <w:sz w:val="16"/>
      <w:szCs w:val="16"/>
    </w:rPr>
  </w:style>
  <w:style w:type="paragraph" w:styleId="CommentText">
    <w:name w:val="annotation text"/>
    <w:basedOn w:val="Normal"/>
    <w:link w:val="CommentTextChar"/>
    <w:semiHidden/>
    <w:rsid w:val="00437D63"/>
    <w:rPr>
      <w:sz w:val="20"/>
      <w:szCs w:val="20"/>
    </w:rPr>
  </w:style>
  <w:style w:type="character" w:customStyle="1" w:styleId="CommentTextChar">
    <w:name w:val="Comment Text Char"/>
    <w:basedOn w:val="DefaultParagraphFont"/>
    <w:link w:val="CommentText"/>
    <w:semiHidden/>
    <w:rsid w:val="00437D63"/>
    <w:rPr>
      <w:rFonts w:ascii="Times New Roman" w:eastAsia="Times New Roman" w:hAnsi="Times New Roman"/>
    </w:rPr>
  </w:style>
  <w:style w:type="paragraph" w:styleId="CommentSubject">
    <w:name w:val="annotation subject"/>
    <w:basedOn w:val="CommentText"/>
    <w:next w:val="CommentText"/>
    <w:link w:val="CommentSubjectChar"/>
    <w:semiHidden/>
    <w:rsid w:val="00437D63"/>
    <w:rPr>
      <w:b/>
      <w:bCs/>
    </w:rPr>
  </w:style>
  <w:style w:type="character" w:customStyle="1" w:styleId="CommentSubjectChar">
    <w:name w:val="Comment Subject Char"/>
    <w:basedOn w:val="CommentTextChar"/>
    <w:link w:val="CommentSubject"/>
    <w:semiHidden/>
    <w:rsid w:val="00437D63"/>
    <w:rPr>
      <w:rFonts w:ascii="Times New Roman" w:eastAsia="Times New Roman" w:hAnsi="Times New Roman"/>
      <w:b/>
      <w:bCs/>
    </w:rPr>
  </w:style>
  <w:style w:type="paragraph" w:styleId="BodyTextIndent2">
    <w:name w:val="Body Text Indent 2"/>
    <w:basedOn w:val="Normal"/>
    <w:link w:val="BodyTextIndent2Char"/>
    <w:rsid w:val="00437D63"/>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480" w:lineRule="auto"/>
      <w:ind w:firstLine="720"/>
    </w:pPr>
    <w:rPr>
      <w:snapToGrid w:val="0"/>
      <w:szCs w:val="20"/>
    </w:rPr>
  </w:style>
  <w:style w:type="character" w:customStyle="1" w:styleId="BodyTextIndent2Char">
    <w:name w:val="Body Text Indent 2 Char"/>
    <w:basedOn w:val="DefaultParagraphFont"/>
    <w:link w:val="BodyTextIndent2"/>
    <w:rsid w:val="00437D63"/>
    <w:rPr>
      <w:rFonts w:ascii="Times New Roman" w:eastAsia="Times New Roman" w:hAnsi="Times New Roman"/>
      <w:snapToGrid w:val="0"/>
      <w:sz w:val="24"/>
    </w:rPr>
  </w:style>
  <w:style w:type="paragraph" w:styleId="BodyText2">
    <w:name w:val="Body Text 2"/>
    <w:basedOn w:val="Normal"/>
    <w:link w:val="BodyText2Char"/>
    <w:rsid w:val="00437D63"/>
    <w:pPr>
      <w:autoSpaceDE/>
      <w:autoSpaceDN/>
      <w:adjustRightInd/>
      <w:spacing w:line="480" w:lineRule="auto"/>
      <w:jc w:val="both"/>
    </w:pPr>
    <w:rPr>
      <w:snapToGrid w:val="0"/>
      <w:szCs w:val="20"/>
    </w:rPr>
  </w:style>
  <w:style w:type="character" w:customStyle="1" w:styleId="BodyText2Char">
    <w:name w:val="Body Text 2 Char"/>
    <w:basedOn w:val="DefaultParagraphFont"/>
    <w:link w:val="BodyText2"/>
    <w:rsid w:val="00437D63"/>
    <w:rPr>
      <w:rFonts w:ascii="Times New Roman" w:eastAsia="Times New Roman" w:hAnsi="Times New Roman"/>
      <w:snapToGrid w:val="0"/>
      <w:sz w:val="24"/>
    </w:rPr>
  </w:style>
  <w:style w:type="paragraph" w:styleId="BodyTextIndent3">
    <w:name w:val="Body Text Indent 3"/>
    <w:basedOn w:val="Normal"/>
    <w:link w:val="BodyTextIndent3Char"/>
    <w:rsid w:val="00437D6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480" w:lineRule="auto"/>
      <w:ind w:left="720"/>
      <w:jc w:val="both"/>
    </w:pPr>
    <w:rPr>
      <w:snapToGrid w:val="0"/>
      <w:szCs w:val="20"/>
    </w:rPr>
  </w:style>
  <w:style w:type="character" w:customStyle="1" w:styleId="BodyTextIndent3Char">
    <w:name w:val="Body Text Indent 3 Char"/>
    <w:basedOn w:val="DefaultParagraphFont"/>
    <w:link w:val="BodyTextIndent3"/>
    <w:rsid w:val="00437D63"/>
    <w:rPr>
      <w:rFonts w:ascii="Times New Roman" w:eastAsia="Times New Roman" w:hAnsi="Times New Roman"/>
      <w:snapToGrid w:val="0"/>
      <w:sz w:val="24"/>
    </w:rPr>
  </w:style>
  <w:style w:type="paragraph" w:customStyle="1" w:styleId="Style">
    <w:name w:val="Style"/>
    <w:rsid w:val="00437D63"/>
    <w:pPr>
      <w:widowControl w:val="0"/>
      <w:autoSpaceDE w:val="0"/>
      <w:autoSpaceDN w:val="0"/>
      <w:adjustRightInd w:val="0"/>
    </w:pPr>
    <w:rPr>
      <w:rFonts w:ascii="Times New Roman" w:eastAsia="Times New Roman" w:hAnsi="Times New Roman"/>
      <w:sz w:val="24"/>
      <w:szCs w:val="24"/>
    </w:rPr>
  </w:style>
  <w:style w:type="paragraph" w:styleId="Revision">
    <w:name w:val="Revision"/>
    <w:hidden/>
    <w:uiPriority w:val="99"/>
    <w:semiHidden/>
    <w:rsid w:val="00437D63"/>
    <w:rPr>
      <w:rFonts w:ascii="Times New Roman" w:eastAsia="Times New Roman" w:hAnsi="Times New Roman"/>
      <w:sz w:val="24"/>
      <w:szCs w:val="24"/>
    </w:rPr>
  </w:style>
  <w:style w:type="paragraph" w:customStyle="1" w:styleId="TESTIMONY">
    <w:name w:val="TESTIMONY"/>
    <w:basedOn w:val="Normal"/>
    <w:rsid w:val="00437D63"/>
    <w:pPr>
      <w:widowControl/>
      <w:autoSpaceDE/>
      <w:autoSpaceDN/>
      <w:adjustRightInd/>
      <w:spacing w:line="480" w:lineRule="auto"/>
      <w:ind w:left="720" w:hanging="720"/>
      <w:jc w:val="both"/>
    </w:pPr>
    <w:rPr>
      <w:rFonts w:ascii="Arial" w:hAnsi="Arial"/>
      <w:szCs w:val="20"/>
    </w:rPr>
  </w:style>
  <w:style w:type="character" w:customStyle="1" w:styleId="DeltaViewInsertion">
    <w:name w:val="DeltaView Insertion"/>
    <w:rsid w:val="00437D63"/>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5203</Characters>
  <Application>Microsoft Office Word</Application>
  <DocSecurity>0</DocSecurity>
  <Lines>43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0x010100854A50B4A0269444A28806C78558D57D01001F07DA837441744FBE283CE54C833325</vt:lpwstr>
  </property>
  <property fmtid="{D5CDD505-2E9C-101B-9397-08002B2CF9AE}" pid="3" name="EMAIL_OWNER_ADDRESS">
    <vt:lpwstr>4AAA9mrMv1QjWAvoHkWpInQbMVJKrm3CNZQY8PUZISC6Dxl87TuUXfNC6Q==</vt:lpwstr>
  </property>
  <property fmtid="{D5CDD505-2E9C-101B-9397-08002B2CF9AE}" pid="4" name="MAIL_MSG_ID1">
    <vt:lpwstr>gFAAsdpvfP9KDXLbuW0LI8TNp3lkrvIZpmTykjAAi+ZkeT6Sxq6HVlZEY9cvH0AOQ6+3fZslvM8WyFuT_x000D_
8AQhHh3zKhNICXAjkjFOd4QlXde4kbYMaHH2duyJ9sQUD913AwtQe9u8frVaI+S5qwuCYDdiWtH3_x000D_
gXyTmet5w1weEoJ37OuMYbMq1y/HCULzzlv56ezyJnAM5+gjeZicXSFrTLAae8nZ8bY3VH75vvQb_x000D_
cHgLqbONyDpes2Ozi</vt:lpwstr>
  </property>
  <property fmtid="{D5CDD505-2E9C-101B-9397-08002B2CF9AE}" pid="5" name="MAIL_MSG_ID2">
    <vt:lpwstr>3i7cXYcl4QShybG3l34+DbnCuEESS1zm8GJwu9b/FtPKpLUHr2+9bSPzYHf_x000D_
0hgw5Mn8LTp80yixIm7VJihy2IX4MG8UssatcQ==</vt:lpwstr>
  </property>
  <property fmtid="{D5CDD505-2E9C-101B-9397-08002B2CF9AE}" pid="6" name="RESPONSE_SENDER_NAME">
    <vt:lpwstr>sAAA4E8dREqJqIqdG/igoxUn+lM0KWlzeqoPe7iPwBDQhXU=</vt:lpwstr>
  </property>
  <property fmtid="{D5CDD505-2E9C-101B-9397-08002B2CF9AE}" pid="7" name="SWDocID">
    <vt:lpwstr/>
  </property>
  <property fmtid="{D5CDD505-2E9C-101B-9397-08002B2CF9AE}" pid="8" name="_NewReviewCycle">
    <vt:lpwstr/>
  </property>
</Properties>
</file>